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7AD8" w14:textId="65A13659" w:rsidR="00555B3E" w:rsidRPr="00D72BBA" w:rsidRDefault="00555B3E" w:rsidP="00DF21FD">
      <w:pPr>
        <w:pStyle w:val="Title"/>
        <w:spacing w:before="120"/>
        <w:contextualSpacing w:val="0"/>
        <w:jc w:val="center"/>
        <w:rPr>
          <w:rFonts w:ascii="Arial" w:hAnsi="Arial" w:cs="Arial"/>
          <w:b/>
          <w:bCs/>
          <w:sz w:val="44"/>
          <w:szCs w:val="44"/>
        </w:rPr>
      </w:pPr>
      <w:r w:rsidRPr="00D72BBA">
        <w:rPr>
          <w:rFonts w:ascii="Arial" w:hAnsi="Arial" w:cs="Arial"/>
          <w:b/>
          <w:bCs/>
          <w:sz w:val="44"/>
          <w:szCs w:val="44"/>
        </w:rPr>
        <w:t>Amarin –Transparency Disclosure Methodology Statement</w:t>
      </w:r>
    </w:p>
    <w:p w14:paraId="3165B4F2" w14:textId="77777777" w:rsidR="00555B3E" w:rsidRPr="00555B3E" w:rsidRDefault="00555B3E" w:rsidP="00EA29A3">
      <w:pPr>
        <w:jc w:val="both"/>
        <w:rPr>
          <w:rFonts w:ascii="Arial" w:hAnsi="Arial" w:cs="Arial"/>
        </w:rPr>
      </w:pPr>
    </w:p>
    <w:p w14:paraId="6DD77FC5" w14:textId="7E588D5C" w:rsidR="00555B3E" w:rsidRPr="00555B3E" w:rsidRDefault="00555B3E" w:rsidP="006A658E">
      <w:pPr>
        <w:spacing w:after="120"/>
        <w:jc w:val="both"/>
        <w:rPr>
          <w:rFonts w:ascii="Arial" w:hAnsi="Arial" w:cs="Arial"/>
        </w:rPr>
      </w:pPr>
      <w:r w:rsidRPr="00555B3E">
        <w:rPr>
          <w:rFonts w:ascii="Arial" w:hAnsi="Arial" w:cs="Arial"/>
        </w:rPr>
        <w:t xml:space="preserve">The </w:t>
      </w:r>
      <w:r w:rsidR="00003570">
        <w:rPr>
          <w:rFonts w:ascii="Arial" w:hAnsi="Arial" w:cs="Arial"/>
        </w:rPr>
        <w:t>“</w:t>
      </w:r>
      <w:r w:rsidR="006A658E">
        <w:rPr>
          <w:rFonts w:ascii="Arial" w:hAnsi="Arial" w:cs="Arial"/>
        </w:rPr>
        <w:t>ABPI</w:t>
      </w:r>
      <w:r w:rsidR="00003570">
        <w:rPr>
          <w:rFonts w:ascii="Arial" w:hAnsi="Arial" w:cs="Arial"/>
        </w:rPr>
        <w:t>”</w:t>
      </w:r>
      <w:r w:rsidR="006A658E">
        <w:rPr>
          <w:rFonts w:ascii="Arial" w:hAnsi="Arial" w:cs="Arial"/>
        </w:rPr>
        <w:t xml:space="preserve"> Code of Practice</w:t>
      </w:r>
      <w:r w:rsidRPr="00555B3E">
        <w:rPr>
          <w:rFonts w:ascii="Arial" w:hAnsi="Arial" w:cs="Arial"/>
        </w:rPr>
        <w:t xml:space="preserve"> requires </w:t>
      </w:r>
      <w:r w:rsidR="006A658E">
        <w:rPr>
          <w:rFonts w:ascii="Arial" w:hAnsi="Arial" w:cs="Arial"/>
        </w:rPr>
        <w:t>pharmaceutical</w:t>
      </w:r>
      <w:r w:rsidRPr="00555B3E">
        <w:rPr>
          <w:rFonts w:ascii="Arial" w:hAnsi="Arial" w:cs="Arial"/>
        </w:rPr>
        <w:t xml:space="preserve"> companies to document and disclose </w:t>
      </w:r>
      <w:r w:rsidR="00003570">
        <w:rPr>
          <w:rFonts w:ascii="Arial" w:hAnsi="Arial" w:cs="Arial"/>
        </w:rPr>
        <w:t xml:space="preserve">annually </w:t>
      </w:r>
      <w:r w:rsidRPr="00555B3E">
        <w:rPr>
          <w:rFonts w:ascii="Arial" w:hAnsi="Arial" w:cs="Arial"/>
        </w:rPr>
        <w:t>certain Transfers of Value (“</w:t>
      </w:r>
      <w:proofErr w:type="spellStart"/>
      <w:r w:rsidRPr="00555B3E">
        <w:rPr>
          <w:rFonts w:ascii="Arial" w:hAnsi="Arial" w:cs="Arial"/>
        </w:rPr>
        <w:t>ToVs</w:t>
      </w:r>
      <w:proofErr w:type="spellEnd"/>
      <w:r w:rsidRPr="00555B3E">
        <w:rPr>
          <w:rFonts w:ascii="Arial" w:hAnsi="Arial" w:cs="Arial"/>
        </w:rPr>
        <w:t>”) they make, directly or indirectly, to or for the benefit of, healthcare professional (“HCPs”)</w:t>
      </w:r>
      <w:r w:rsidR="006A658E">
        <w:rPr>
          <w:rFonts w:ascii="Arial" w:hAnsi="Arial" w:cs="Arial"/>
        </w:rPr>
        <w:t xml:space="preserve">, other relevant decisions makers (“ORMDs”) </w:t>
      </w:r>
      <w:r w:rsidRPr="00555B3E">
        <w:rPr>
          <w:rFonts w:ascii="Arial" w:hAnsi="Arial" w:cs="Arial"/>
        </w:rPr>
        <w:t>healthcare organisations (“HCOs”)</w:t>
      </w:r>
      <w:r w:rsidR="006A658E" w:rsidRPr="006A658E">
        <w:rPr>
          <w:rFonts w:ascii="Arial" w:hAnsi="Arial" w:cs="Arial"/>
        </w:rPr>
        <w:t xml:space="preserve"> and payments made to patient organisations </w:t>
      </w:r>
      <w:r w:rsidR="006A658E">
        <w:rPr>
          <w:rFonts w:ascii="Arial" w:hAnsi="Arial" w:cs="Arial"/>
        </w:rPr>
        <w:t xml:space="preserve">(“POs”) </w:t>
      </w:r>
      <w:r w:rsidR="006A658E" w:rsidRPr="006A658E">
        <w:rPr>
          <w:rFonts w:ascii="Arial" w:hAnsi="Arial" w:cs="Arial"/>
        </w:rPr>
        <w:t>and the public, including patients and journalists</w:t>
      </w:r>
      <w:r w:rsidRPr="00555B3E">
        <w:rPr>
          <w:rFonts w:ascii="Arial" w:hAnsi="Arial" w:cs="Arial"/>
        </w:rPr>
        <w:t xml:space="preserve">. </w:t>
      </w:r>
    </w:p>
    <w:p w14:paraId="5FA6F274" w14:textId="4F9F9C91" w:rsidR="00555B3E" w:rsidRPr="00555B3E" w:rsidRDefault="00555B3E" w:rsidP="000478BC">
      <w:pPr>
        <w:spacing w:after="120"/>
        <w:jc w:val="both"/>
        <w:rPr>
          <w:rFonts w:ascii="Arial" w:hAnsi="Arial" w:cs="Arial"/>
        </w:rPr>
      </w:pPr>
      <w:r w:rsidRPr="00555B3E">
        <w:rPr>
          <w:rFonts w:ascii="Arial" w:hAnsi="Arial" w:cs="Arial"/>
        </w:rPr>
        <w:t xml:space="preserve">Amarin is committed to </w:t>
      </w:r>
      <w:proofErr w:type="gramStart"/>
      <w:r w:rsidR="00EF23AD">
        <w:rPr>
          <w:rFonts w:ascii="Arial" w:hAnsi="Arial" w:cs="Arial"/>
        </w:rPr>
        <w:t>comply</w:t>
      </w:r>
      <w:proofErr w:type="gramEnd"/>
      <w:r w:rsidR="00EF23AD">
        <w:rPr>
          <w:rFonts w:ascii="Arial" w:hAnsi="Arial" w:cs="Arial"/>
        </w:rPr>
        <w:t xml:space="preserve"> with </w:t>
      </w:r>
      <w:r w:rsidR="00003570">
        <w:rPr>
          <w:rFonts w:ascii="Arial" w:hAnsi="Arial" w:cs="Arial"/>
        </w:rPr>
        <w:t>the ABPI</w:t>
      </w:r>
      <w:r w:rsidR="00EF23AD" w:rsidRPr="00555B3E">
        <w:rPr>
          <w:rFonts w:ascii="Arial" w:hAnsi="Arial" w:cs="Arial"/>
        </w:rPr>
        <w:t xml:space="preserve"> </w:t>
      </w:r>
      <w:r w:rsidRPr="00555B3E">
        <w:rPr>
          <w:rFonts w:ascii="Arial" w:hAnsi="Arial" w:cs="Arial"/>
        </w:rPr>
        <w:t xml:space="preserve">transparency </w:t>
      </w:r>
      <w:r w:rsidR="00EF23AD">
        <w:rPr>
          <w:rFonts w:ascii="Arial" w:hAnsi="Arial" w:cs="Arial"/>
        </w:rPr>
        <w:t xml:space="preserve">requirement </w:t>
      </w:r>
      <w:r w:rsidRPr="00555B3E">
        <w:rPr>
          <w:rFonts w:ascii="Arial" w:hAnsi="Arial" w:cs="Arial"/>
        </w:rPr>
        <w:t>around interactions with HCPs</w:t>
      </w:r>
      <w:r w:rsidR="00EF23AD">
        <w:rPr>
          <w:rFonts w:ascii="Arial" w:hAnsi="Arial" w:cs="Arial"/>
        </w:rPr>
        <w:t>,</w:t>
      </w:r>
      <w:r w:rsidRPr="00555B3E">
        <w:rPr>
          <w:rFonts w:ascii="Arial" w:hAnsi="Arial" w:cs="Arial"/>
        </w:rPr>
        <w:t xml:space="preserve"> </w:t>
      </w:r>
      <w:proofErr w:type="gramStart"/>
      <w:r w:rsidRPr="00555B3E">
        <w:rPr>
          <w:rFonts w:ascii="Arial" w:hAnsi="Arial" w:cs="Arial"/>
        </w:rPr>
        <w:t>HCOs</w:t>
      </w:r>
      <w:proofErr w:type="gramEnd"/>
      <w:r w:rsidR="00EF23AD">
        <w:rPr>
          <w:rFonts w:ascii="Arial" w:hAnsi="Arial" w:cs="Arial"/>
        </w:rPr>
        <w:t xml:space="preserve"> and POs,</w:t>
      </w:r>
      <w:r w:rsidRPr="00555B3E">
        <w:rPr>
          <w:rFonts w:ascii="Arial" w:hAnsi="Arial" w:cs="Arial"/>
        </w:rPr>
        <w:t xml:space="preserve"> including the nature and scope of our </w:t>
      </w:r>
      <w:proofErr w:type="spellStart"/>
      <w:r w:rsidRPr="00555B3E">
        <w:rPr>
          <w:rFonts w:ascii="Arial" w:hAnsi="Arial" w:cs="Arial"/>
        </w:rPr>
        <w:t>ToVs</w:t>
      </w:r>
      <w:proofErr w:type="spellEnd"/>
      <w:r w:rsidRPr="00555B3E">
        <w:rPr>
          <w:rFonts w:ascii="Arial" w:hAnsi="Arial" w:cs="Arial"/>
        </w:rPr>
        <w:t xml:space="preserve">. Amarin discloses these in accordance with the relevant data privacy and transparency disclosure legislation. </w:t>
      </w:r>
    </w:p>
    <w:p w14:paraId="5B155B33" w14:textId="563D0419" w:rsidR="00555B3E" w:rsidRPr="00555B3E" w:rsidRDefault="00555B3E" w:rsidP="000478BC">
      <w:pPr>
        <w:spacing w:after="120"/>
        <w:jc w:val="both"/>
        <w:rPr>
          <w:rFonts w:ascii="Arial" w:hAnsi="Arial" w:cs="Arial"/>
        </w:rPr>
      </w:pPr>
      <w:r w:rsidRPr="00555B3E">
        <w:rPr>
          <w:rFonts w:ascii="Arial" w:hAnsi="Arial" w:cs="Arial"/>
        </w:rPr>
        <w:t xml:space="preserve">This note describes the methodologies and business rules used by Amarin to meet its reporting and disclosure obligations in line with the </w:t>
      </w:r>
      <w:r w:rsidR="00EC44E7" w:rsidRPr="00EC44E7">
        <w:rPr>
          <w:rFonts w:ascii="Arial" w:hAnsi="Arial" w:cs="Arial"/>
        </w:rPr>
        <w:t>ABPI Code of Practice</w:t>
      </w:r>
      <w:r w:rsidRPr="00555B3E">
        <w:rPr>
          <w:rFonts w:ascii="Arial" w:hAnsi="Arial" w:cs="Arial"/>
        </w:rPr>
        <w:t xml:space="preserve"> Transparency Disclosure legislations.</w:t>
      </w:r>
    </w:p>
    <w:p w14:paraId="29E658CE" w14:textId="583E8272" w:rsidR="00555B3E" w:rsidRPr="00555B3E" w:rsidRDefault="00555B3E" w:rsidP="000478BC">
      <w:pPr>
        <w:spacing w:after="120"/>
        <w:jc w:val="both"/>
        <w:rPr>
          <w:rFonts w:ascii="Arial" w:hAnsi="Arial" w:cs="Arial"/>
        </w:rPr>
      </w:pPr>
      <w:r w:rsidRPr="00555B3E">
        <w:rPr>
          <w:rFonts w:ascii="Arial" w:hAnsi="Arial" w:cs="Arial"/>
        </w:rPr>
        <w:t xml:space="preserve">Amarin </w:t>
      </w:r>
      <w:r w:rsidR="005556E3">
        <w:rPr>
          <w:rFonts w:ascii="Arial" w:hAnsi="Arial" w:cs="Arial"/>
        </w:rPr>
        <w:t>Pharmaceuticals Ireland Limited</w:t>
      </w:r>
      <w:r w:rsidRPr="00555B3E">
        <w:rPr>
          <w:rFonts w:ascii="Arial" w:hAnsi="Arial" w:cs="Arial"/>
        </w:rPr>
        <w:t xml:space="preserve"> and its affiliates (“Amarin”) interact with Healthcare Professionals (“HCPs”), Healthcare </w:t>
      </w:r>
      <w:r w:rsidR="005556E3" w:rsidRPr="00555B3E">
        <w:rPr>
          <w:rFonts w:ascii="Arial" w:hAnsi="Arial" w:cs="Arial"/>
        </w:rPr>
        <w:t>Organi</w:t>
      </w:r>
      <w:r w:rsidR="005556E3">
        <w:rPr>
          <w:rFonts w:ascii="Arial" w:hAnsi="Arial" w:cs="Arial"/>
        </w:rPr>
        <w:t>s</w:t>
      </w:r>
      <w:r w:rsidR="005556E3" w:rsidRPr="00555B3E">
        <w:rPr>
          <w:rFonts w:ascii="Arial" w:hAnsi="Arial" w:cs="Arial"/>
        </w:rPr>
        <w:t xml:space="preserve">ations </w:t>
      </w:r>
      <w:r w:rsidRPr="00555B3E">
        <w:rPr>
          <w:rFonts w:ascii="Arial" w:hAnsi="Arial" w:cs="Arial"/>
        </w:rPr>
        <w:t xml:space="preserve">(“HCOs”) and Patient </w:t>
      </w:r>
      <w:r w:rsidR="005556E3" w:rsidRPr="00555B3E">
        <w:rPr>
          <w:rFonts w:ascii="Arial" w:hAnsi="Arial" w:cs="Arial"/>
        </w:rPr>
        <w:t>Organi</w:t>
      </w:r>
      <w:r w:rsidR="005556E3">
        <w:rPr>
          <w:rFonts w:ascii="Arial" w:hAnsi="Arial" w:cs="Arial"/>
        </w:rPr>
        <w:t>s</w:t>
      </w:r>
      <w:r w:rsidR="005556E3" w:rsidRPr="00555B3E">
        <w:rPr>
          <w:rFonts w:ascii="Arial" w:hAnsi="Arial" w:cs="Arial"/>
        </w:rPr>
        <w:t>ations</w:t>
      </w:r>
      <w:r w:rsidR="005556E3" w:rsidRPr="00555B3E" w:rsidDel="005556E3">
        <w:rPr>
          <w:rFonts w:ascii="Arial" w:hAnsi="Arial" w:cs="Arial"/>
        </w:rPr>
        <w:t xml:space="preserve"> </w:t>
      </w:r>
      <w:r w:rsidRPr="00555B3E">
        <w:rPr>
          <w:rFonts w:ascii="Arial" w:hAnsi="Arial" w:cs="Arial"/>
        </w:rPr>
        <w:t xml:space="preserve">(“PO”) </w:t>
      </w:r>
      <w:r w:rsidR="00EC44E7">
        <w:rPr>
          <w:rFonts w:ascii="Arial" w:hAnsi="Arial" w:cs="Arial"/>
        </w:rPr>
        <w:t xml:space="preserve">and members of the public </w:t>
      </w:r>
      <w:r w:rsidRPr="00555B3E">
        <w:rPr>
          <w:rFonts w:ascii="Arial" w:hAnsi="Arial" w:cs="Arial"/>
        </w:rPr>
        <w:t>to obtain or provide scientific or educational knowledge or to support medical research in the interest of patients.</w:t>
      </w:r>
    </w:p>
    <w:p w14:paraId="104EDB03" w14:textId="64FD779A" w:rsidR="00555B3E" w:rsidRPr="00555B3E" w:rsidRDefault="00555B3E" w:rsidP="000478BC">
      <w:pPr>
        <w:spacing w:after="120"/>
        <w:jc w:val="both"/>
        <w:rPr>
          <w:rFonts w:ascii="Arial" w:hAnsi="Arial" w:cs="Arial"/>
        </w:rPr>
      </w:pPr>
      <w:r w:rsidRPr="00555B3E">
        <w:rPr>
          <w:rFonts w:ascii="Arial" w:hAnsi="Arial" w:cs="Arial"/>
        </w:rPr>
        <w:t>Amarin is committed to uphold</w:t>
      </w:r>
      <w:r w:rsidR="00EA29A3">
        <w:rPr>
          <w:rFonts w:ascii="Arial" w:hAnsi="Arial" w:cs="Arial"/>
        </w:rPr>
        <w:t>ing</w:t>
      </w:r>
      <w:r w:rsidRPr="00555B3E">
        <w:rPr>
          <w:rFonts w:ascii="Arial" w:hAnsi="Arial" w:cs="Arial"/>
        </w:rPr>
        <w:t xml:space="preserve"> high ethical standards when interacting with HCPs and HCOs P</w:t>
      </w:r>
      <w:r w:rsidR="00003570">
        <w:rPr>
          <w:rFonts w:ascii="Arial" w:hAnsi="Arial" w:cs="Arial"/>
        </w:rPr>
        <w:t>O</w:t>
      </w:r>
      <w:r w:rsidR="00EA29A3">
        <w:rPr>
          <w:rFonts w:ascii="Arial" w:hAnsi="Arial" w:cs="Arial"/>
        </w:rPr>
        <w:t>s</w:t>
      </w:r>
      <w:r w:rsidR="00EC44E7">
        <w:rPr>
          <w:rFonts w:ascii="Arial" w:hAnsi="Arial" w:cs="Arial"/>
        </w:rPr>
        <w:t xml:space="preserve"> and members of the public</w:t>
      </w:r>
      <w:r w:rsidRPr="00555B3E">
        <w:rPr>
          <w:rFonts w:ascii="Arial" w:hAnsi="Arial" w:cs="Arial"/>
        </w:rPr>
        <w:t>. As part of this commitment and in accordance with applicable industry standards and relevant legislation (“Transparency Disclosure Rules”), Amarin and its affiliates are required to disclose payments made to healthcare professionals</w:t>
      </w:r>
      <w:r w:rsidR="00EC44E7">
        <w:rPr>
          <w:rFonts w:ascii="Arial" w:hAnsi="Arial" w:cs="Arial"/>
        </w:rPr>
        <w:t>, healthcare organisations,</w:t>
      </w:r>
      <w:r w:rsidRPr="00555B3E">
        <w:rPr>
          <w:rFonts w:ascii="Arial" w:hAnsi="Arial" w:cs="Arial"/>
        </w:rPr>
        <w:t xml:space="preserve"> </w:t>
      </w:r>
      <w:proofErr w:type="gramStart"/>
      <w:r w:rsidRPr="00555B3E">
        <w:rPr>
          <w:rFonts w:ascii="Arial" w:hAnsi="Arial" w:cs="Arial"/>
        </w:rPr>
        <w:t>POs</w:t>
      </w:r>
      <w:proofErr w:type="gramEnd"/>
      <w:r w:rsidR="003A40AA">
        <w:rPr>
          <w:rFonts w:ascii="Arial" w:hAnsi="Arial" w:cs="Arial"/>
        </w:rPr>
        <w:t xml:space="preserve"> </w:t>
      </w:r>
      <w:r w:rsidR="00EC44E7">
        <w:rPr>
          <w:rFonts w:ascii="Arial" w:hAnsi="Arial" w:cs="Arial"/>
        </w:rPr>
        <w:t>and members of the public.</w:t>
      </w:r>
      <w:r w:rsidRPr="00555B3E">
        <w:rPr>
          <w:rFonts w:ascii="Arial" w:hAnsi="Arial" w:cs="Arial"/>
        </w:rPr>
        <w:t xml:space="preserve"> </w:t>
      </w:r>
    </w:p>
    <w:p w14:paraId="4CD0113A" w14:textId="2E5F93A5" w:rsidR="00555B3E" w:rsidRPr="00555B3E" w:rsidRDefault="00555B3E" w:rsidP="000478BC">
      <w:pPr>
        <w:spacing w:after="120"/>
        <w:jc w:val="both"/>
        <w:rPr>
          <w:rFonts w:ascii="Arial" w:hAnsi="Arial" w:cs="Arial"/>
        </w:rPr>
      </w:pPr>
      <w:r w:rsidRPr="00555B3E">
        <w:rPr>
          <w:rFonts w:ascii="Arial" w:hAnsi="Arial" w:cs="Arial"/>
        </w:rPr>
        <w:t xml:space="preserve">Amarin has established a Transparency Reporting </w:t>
      </w:r>
      <w:r w:rsidR="00181884">
        <w:rPr>
          <w:rFonts w:ascii="Arial" w:hAnsi="Arial" w:cs="Arial"/>
        </w:rPr>
        <w:t xml:space="preserve">Process </w:t>
      </w:r>
      <w:r w:rsidRPr="00555B3E">
        <w:rPr>
          <w:rFonts w:ascii="Arial" w:hAnsi="Arial" w:cs="Arial"/>
        </w:rPr>
        <w:t xml:space="preserve">in line with </w:t>
      </w:r>
      <w:r w:rsidR="00EC44E7">
        <w:rPr>
          <w:rFonts w:ascii="Arial" w:hAnsi="Arial" w:cs="Arial"/>
        </w:rPr>
        <w:t>the ABPI Code of Practice in the</w:t>
      </w:r>
      <w:r w:rsidR="00CB2C0A">
        <w:rPr>
          <w:rFonts w:ascii="Arial" w:hAnsi="Arial" w:cs="Arial"/>
        </w:rPr>
        <w:t xml:space="preserve"> </w:t>
      </w:r>
      <w:r w:rsidRPr="00555B3E">
        <w:rPr>
          <w:rFonts w:ascii="Arial" w:hAnsi="Arial" w:cs="Arial"/>
        </w:rPr>
        <w:t>UK.</w:t>
      </w:r>
    </w:p>
    <w:p w14:paraId="6531C000" w14:textId="77777777" w:rsidR="00555B3E" w:rsidRPr="00555B3E" w:rsidRDefault="00555B3E" w:rsidP="000478BC">
      <w:pPr>
        <w:spacing w:before="120" w:after="0"/>
        <w:jc w:val="both"/>
        <w:rPr>
          <w:rFonts w:ascii="Arial" w:hAnsi="Arial" w:cs="Arial"/>
        </w:rPr>
      </w:pPr>
    </w:p>
    <w:p w14:paraId="409FA959" w14:textId="77777777" w:rsidR="00555B3E" w:rsidRPr="00D72BBA" w:rsidRDefault="00555B3E" w:rsidP="00D72BBA">
      <w:pPr>
        <w:pStyle w:val="Heading1"/>
        <w:spacing w:before="120"/>
        <w:jc w:val="both"/>
        <w:rPr>
          <w:b/>
          <w:bCs/>
        </w:rPr>
      </w:pPr>
      <w:r w:rsidRPr="00D72BBA">
        <w:rPr>
          <w:b/>
          <w:bCs/>
        </w:rPr>
        <w:t>Definitions:</w:t>
      </w:r>
    </w:p>
    <w:p w14:paraId="015CCC92" w14:textId="77126314" w:rsidR="006A658E" w:rsidRDefault="00EC44E7" w:rsidP="006A658E">
      <w:pPr>
        <w:pStyle w:val="ListParagraph"/>
        <w:numPr>
          <w:ilvl w:val="0"/>
          <w:numId w:val="1"/>
        </w:numPr>
        <w:spacing w:after="120" w:line="240" w:lineRule="auto"/>
        <w:ind w:left="360"/>
        <w:contextualSpacing w:val="0"/>
        <w:jc w:val="both"/>
        <w:rPr>
          <w:rFonts w:ascii="Arial" w:hAnsi="Arial" w:cs="Arial"/>
        </w:rPr>
      </w:pPr>
      <w:r>
        <w:rPr>
          <w:rFonts w:ascii="Arial" w:hAnsi="Arial" w:cs="Arial"/>
          <w:b/>
          <w:bCs/>
        </w:rPr>
        <w:t>ABPI</w:t>
      </w:r>
      <w:r w:rsidR="00555B3E" w:rsidRPr="00555B3E">
        <w:rPr>
          <w:rFonts w:ascii="Arial" w:hAnsi="Arial" w:cs="Arial"/>
        </w:rPr>
        <w:t xml:space="preserve">: </w:t>
      </w:r>
      <w:r w:rsidR="00003570" w:rsidRPr="00003570">
        <w:rPr>
          <w:rFonts w:ascii="Arial" w:hAnsi="Arial" w:cs="Arial"/>
        </w:rPr>
        <w:t>The Association of the British Pharmaceutical Industry</w:t>
      </w:r>
      <w:r w:rsidR="00003570">
        <w:rPr>
          <w:rFonts w:ascii="Arial" w:hAnsi="Arial" w:cs="Arial"/>
        </w:rPr>
        <w:t xml:space="preserve"> </w:t>
      </w:r>
      <w:r w:rsidR="00555B3E" w:rsidRPr="00555B3E">
        <w:rPr>
          <w:rFonts w:ascii="Arial" w:hAnsi="Arial" w:cs="Arial"/>
        </w:rPr>
        <w:t xml:space="preserve">trade </w:t>
      </w:r>
      <w:proofErr w:type="spellStart"/>
      <w:r w:rsidR="005556E3" w:rsidRPr="00555B3E">
        <w:rPr>
          <w:rFonts w:ascii="Arial" w:hAnsi="Arial" w:cs="Arial"/>
        </w:rPr>
        <w:t>organi</w:t>
      </w:r>
      <w:r w:rsidR="005556E3">
        <w:rPr>
          <w:rFonts w:ascii="Arial" w:hAnsi="Arial" w:cs="Arial"/>
        </w:rPr>
        <w:t>s</w:t>
      </w:r>
      <w:r w:rsidR="005556E3" w:rsidRPr="00555B3E">
        <w:rPr>
          <w:rFonts w:ascii="Arial" w:hAnsi="Arial" w:cs="Arial"/>
        </w:rPr>
        <w:t>ation</w:t>
      </w:r>
      <w:proofErr w:type="spellEnd"/>
      <w:r w:rsidR="005556E3" w:rsidRPr="00555B3E">
        <w:rPr>
          <w:rFonts w:ascii="Arial" w:hAnsi="Arial" w:cs="Arial"/>
        </w:rPr>
        <w:t xml:space="preserve"> </w:t>
      </w:r>
      <w:r w:rsidR="00555B3E" w:rsidRPr="00555B3E">
        <w:rPr>
          <w:rFonts w:ascii="Arial" w:hAnsi="Arial" w:cs="Arial"/>
        </w:rPr>
        <w:t xml:space="preserve">representing the research based pharmaceutical industry operating in </w:t>
      </w:r>
      <w:r w:rsidR="00003570">
        <w:rPr>
          <w:rFonts w:ascii="Arial" w:hAnsi="Arial" w:cs="Arial"/>
        </w:rPr>
        <w:t>the United Kingdom.</w:t>
      </w:r>
    </w:p>
    <w:p w14:paraId="0E88289F" w14:textId="4613B2A5" w:rsidR="00971A68" w:rsidRPr="003A40AA" w:rsidRDefault="00971A68" w:rsidP="006A658E">
      <w:pPr>
        <w:pStyle w:val="ListParagraph"/>
        <w:numPr>
          <w:ilvl w:val="0"/>
          <w:numId w:val="1"/>
        </w:numPr>
        <w:spacing w:after="120" w:line="240" w:lineRule="auto"/>
        <w:ind w:left="360"/>
        <w:contextualSpacing w:val="0"/>
        <w:jc w:val="both"/>
        <w:rPr>
          <w:rFonts w:ascii="Arial" w:hAnsi="Arial" w:cs="Arial"/>
        </w:rPr>
      </w:pPr>
      <w:r w:rsidRPr="003A40AA">
        <w:rPr>
          <w:rFonts w:ascii="Arial" w:hAnsi="Arial" w:cs="Arial"/>
          <w:b/>
          <w:bCs/>
        </w:rPr>
        <w:t>“Contracted Services”:</w:t>
      </w:r>
      <w:r w:rsidRPr="003A40AA">
        <w:rPr>
          <w:rFonts w:ascii="Arial" w:hAnsi="Arial" w:cs="Arial"/>
        </w:rPr>
        <w:t xml:space="preserve"> </w:t>
      </w:r>
      <w:r>
        <w:rPr>
          <w:rFonts w:ascii="Arial" w:hAnsi="Arial" w:cs="Arial"/>
        </w:rPr>
        <w:t xml:space="preserve">Any </w:t>
      </w:r>
      <w:r w:rsidRPr="003A40AA">
        <w:rPr>
          <w:rFonts w:ascii="Arial" w:hAnsi="Arial" w:cs="Arial"/>
        </w:rPr>
        <w:t>HCPs, ORDMS, HCOs, POs, individuals representing patient organisations, and members of the public, including patients and journalists used as consultants and advisors (in groups or individually) for services such as speaking at and chairing meetings, involvement in medical/ scientific studies, clinical trials or training services, writing articles and/or publications, participation at advisory board meetings, and participation in market research where such participation may involve remuneration and/or hospitality</w:t>
      </w:r>
      <w:r w:rsidRPr="00971A68">
        <w:rPr>
          <w:rFonts w:ascii="Arial" w:hAnsi="Arial" w:cs="Arial"/>
          <w:b/>
          <w:bCs/>
        </w:rPr>
        <w:t xml:space="preserve"> </w:t>
      </w:r>
    </w:p>
    <w:p w14:paraId="0B56BC53" w14:textId="3323DF19" w:rsidR="00003570" w:rsidRPr="003A40AA" w:rsidRDefault="00003570" w:rsidP="006A658E">
      <w:pPr>
        <w:pStyle w:val="ListParagraph"/>
        <w:numPr>
          <w:ilvl w:val="0"/>
          <w:numId w:val="1"/>
        </w:numPr>
        <w:spacing w:after="120" w:line="240" w:lineRule="auto"/>
        <w:ind w:left="360"/>
        <w:contextualSpacing w:val="0"/>
        <w:jc w:val="both"/>
        <w:rPr>
          <w:rFonts w:ascii="Arial" w:hAnsi="Arial" w:cs="Arial"/>
        </w:rPr>
      </w:pPr>
      <w:r w:rsidRPr="003A40AA">
        <w:rPr>
          <w:rFonts w:ascii="Arial" w:hAnsi="Arial" w:cs="Arial"/>
          <w:b/>
          <w:bCs/>
        </w:rPr>
        <w:t>“Contribution to costs related to events”:</w:t>
      </w:r>
      <w:r w:rsidRPr="003A40AA">
        <w:rPr>
          <w:rFonts w:ascii="Arial" w:hAnsi="Arial" w:cs="Arial"/>
        </w:rPr>
        <w:t xml:space="preserve"> in relation to the disclosure of transfers of value means providing or covering the costs of travel, accommodation and/or registration fees to support the attendance of an individual to an event </w:t>
      </w:r>
      <w:proofErr w:type="spellStart"/>
      <w:r w:rsidRPr="003A40AA">
        <w:rPr>
          <w:rFonts w:ascii="Arial" w:hAnsi="Arial" w:cs="Arial"/>
        </w:rPr>
        <w:t>organised</w:t>
      </w:r>
      <w:proofErr w:type="spellEnd"/>
      <w:r w:rsidRPr="003A40AA">
        <w:rPr>
          <w:rFonts w:ascii="Arial" w:hAnsi="Arial" w:cs="Arial"/>
        </w:rPr>
        <w:t xml:space="preserve"> or created by a company and/or independent </w:t>
      </w:r>
      <w:proofErr w:type="spellStart"/>
      <w:r w:rsidRPr="003A40AA">
        <w:rPr>
          <w:rFonts w:ascii="Arial" w:hAnsi="Arial" w:cs="Arial"/>
        </w:rPr>
        <w:t>organisation</w:t>
      </w:r>
      <w:proofErr w:type="spellEnd"/>
      <w:r w:rsidRPr="003A40AA">
        <w:rPr>
          <w:rFonts w:ascii="Arial" w:hAnsi="Arial" w:cs="Arial"/>
        </w:rPr>
        <w:t>. When providing sponsorship of events/meetings to organisations, associations etc</w:t>
      </w:r>
      <w:r w:rsidR="00877362">
        <w:rPr>
          <w:rFonts w:ascii="Arial" w:hAnsi="Arial" w:cs="Arial"/>
        </w:rPr>
        <w:t>.</w:t>
      </w:r>
      <w:r w:rsidRPr="003A40AA">
        <w:rPr>
          <w:rFonts w:ascii="Arial" w:hAnsi="Arial" w:cs="Arial"/>
        </w:rPr>
        <w:t xml:space="preserve"> such contributions may include costs for subsistence (food and drink)</w:t>
      </w:r>
      <w:r w:rsidRPr="00003570">
        <w:rPr>
          <w:rFonts w:ascii="Arial" w:hAnsi="Arial" w:cs="Arial"/>
          <w:b/>
          <w:bCs/>
        </w:rPr>
        <w:t xml:space="preserve"> </w:t>
      </w:r>
    </w:p>
    <w:p w14:paraId="35DAC75C" w14:textId="585D38BE" w:rsidR="006A658E" w:rsidRPr="003A40AA" w:rsidRDefault="006A658E" w:rsidP="006A658E">
      <w:pPr>
        <w:pStyle w:val="ListParagraph"/>
        <w:numPr>
          <w:ilvl w:val="0"/>
          <w:numId w:val="1"/>
        </w:numPr>
        <w:spacing w:after="120" w:line="240" w:lineRule="auto"/>
        <w:ind w:left="360"/>
        <w:contextualSpacing w:val="0"/>
        <w:jc w:val="both"/>
        <w:rPr>
          <w:rFonts w:ascii="Arial" w:hAnsi="Arial" w:cs="Arial"/>
        </w:rPr>
      </w:pPr>
      <w:r>
        <w:rPr>
          <w:rFonts w:ascii="Arial" w:hAnsi="Arial" w:cs="Arial"/>
          <w:b/>
          <w:bCs/>
        </w:rPr>
        <w:lastRenderedPageBreak/>
        <w:t xml:space="preserve">“Collaborative Working”: </w:t>
      </w:r>
      <w:r w:rsidRPr="003A40AA">
        <w:rPr>
          <w:rFonts w:ascii="Arial" w:hAnsi="Arial" w:cs="Arial"/>
        </w:rPr>
        <w:t>Pharmaceutical companies working with other organisations to deliver initiatives which either enhance patient care or are for the benefit of patients or alternatively benefit the National Health Service (NHS) and, as a minimum, maintain patient care.</w:t>
      </w:r>
    </w:p>
    <w:p w14:paraId="6205F54D" w14:textId="2DAFC47D" w:rsidR="00003570" w:rsidRPr="003A40AA" w:rsidRDefault="00003570" w:rsidP="00003570">
      <w:pPr>
        <w:pStyle w:val="ListParagraph"/>
        <w:numPr>
          <w:ilvl w:val="0"/>
          <w:numId w:val="1"/>
        </w:numPr>
        <w:spacing w:after="120" w:line="240" w:lineRule="auto"/>
        <w:ind w:left="360"/>
        <w:contextualSpacing w:val="0"/>
        <w:jc w:val="both"/>
        <w:rPr>
          <w:rFonts w:ascii="Arial" w:hAnsi="Arial" w:cs="Arial"/>
        </w:rPr>
      </w:pPr>
      <w:r w:rsidRPr="003A40AA">
        <w:rPr>
          <w:rFonts w:ascii="Arial" w:hAnsi="Arial" w:cs="Arial"/>
          <w:b/>
          <w:bCs/>
        </w:rPr>
        <w:t>“Events":</w:t>
      </w:r>
      <w:r w:rsidRPr="003A40AA">
        <w:rPr>
          <w:rFonts w:ascii="Arial" w:hAnsi="Arial" w:cs="Arial"/>
        </w:rPr>
        <w:t xml:space="preserve"> all professional, promotional, </w:t>
      </w:r>
      <w:proofErr w:type="gramStart"/>
      <w:r w:rsidRPr="003A40AA">
        <w:rPr>
          <w:rFonts w:ascii="Arial" w:hAnsi="Arial" w:cs="Arial"/>
        </w:rPr>
        <w:t>scientific</w:t>
      </w:r>
      <w:proofErr w:type="gramEnd"/>
      <w:r w:rsidRPr="003A40AA">
        <w:rPr>
          <w:rFonts w:ascii="Arial" w:hAnsi="Arial" w:cs="Arial"/>
        </w:rPr>
        <w:t xml:space="preserve"> and educational meetings, congresses, conferences, symposia, and other similar events (including, but not limited to, advisory board meetings, visits to research or manufacturing facilities, and planning, training or investigator meetings for clinical trials and noninterventional studies) </w:t>
      </w:r>
      <w:proofErr w:type="spellStart"/>
      <w:r w:rsidRPr="003A40AA">
        <w:rPr>
          <w:rFonts w:ascii="Arial" w:hAnsi="Arial" w:cs="Arial"/>
        </w:rPr>
        <w:t>organised</w:t>
      </w:r>
      <w:proofErr w:type="spellEnd"/>
      <w:r w:rsidRPr="003A40AA">
        <w:rPr>
          <w:rFonts w:ascii="Arial" w:hAnsi="Arial" w:cs="Arial"/>
        </w:rPr>
        <w:t xml:space="preserve"> or sponsored by or on behalf of a company</w:t>
      </w:r>
      <w:r w:rsidR="00637931">
        <w:rPr>
          <w:rFonts w:ascii="Arial" w:hAnsi="Arial" w:cs="Arial"/>
        </w:rPr>
        <w:t>.</w:t>
      </w:r>
    </w:p>
    <w:p w14:paraId="7BD605EB" w14:textId="6D9D4F04" w:rsidR="006A658E" w:rsidRPr="003A40AA" w:rsidRDefault="006A658E" w:rsidP="003A40AA">
      <w:pPr>
        <w:pStyle w:val="ListParagraph"/>
        <w:numPr>
          <w:ilvl w:val="0"/>
          <w:numId w:val="1"/>
        </w:numPr>
        <w:spacing w:after="120" w:line="240" w:lineRule="auto"/>
        <w:ind w:left="360"/>
        <w:contextualSpacing w:val="0"/>
        <w:jc w:val="both"/>
        <w:rPr>
          <w:rFonts w:ascii="Arial" w:hAnsi="Arial" w:cs="Arial"/>
        </w:rPr>
      </w:pPr>
      <w:r w:rsidRPr="006A658E">
        <w:rPr>
          <w:rFonts w:ascii="Arial" w:hAnsi="Arial" w:cs="Arial"/>
          <w:b/>
          <w:bCs/>
        </w:rPr>
        <w:t>“</w:t>
      </w:r>
      <w:r w:rsidRPr="003A40AA">
        <w:rPr>
          <w:rFonts w:ascii="Arial" w:hAnsi="Arial" w:cs="Arial"/>
          <w:b/>
          <w:bCs/>
        </w:rPr>
        <w:t>Grants and Donations”:</w:t>
      </w:r>
      <w:r w:rsidRPr="003A40AA">
        <w:rPr>
          <w:rFonts w:ascii="Arial" w:hAnsi="Arial" w:cs="Arial"/>
        </w:rPr>
        <w:t xml:space="preserve"> Donations and grants are funds, benefits-in-kind or services freely given for the purpose of supporting healthcare, scientific </w:t>
      </w:r>
      <w:proofErr w:type="gramStart"/>
      <w:r w:rsidRPr="003A40AA">
        <w:rPr>
          <w:rFonts w:ascii="Arial" w:hAnsi="Arial" w:cs="Arial"/>
        </w:rPr>
        <w:t>research</w:t>
      </w:r>
      <w:proofErr w:type="gramEnd"/>
      <w:r w:rsidRPr="003A40AA">
        <w:rPr>
          <w:rFonts w:ascii="Arial" w:hAnsi="Arial" w:cs="Arial"/>
        </w:rPr>
        <w:t xml:space="preserve"> or education, with no consequent obligation on the recipient </w:t>
      </w:r>
      <w:proofErr w:type="spellStart"/>
      <w:r w:rsidRPr="003A40AA">
        <w:rPr>
          <w:rFonts w:ascii="Arial" w:hAnsi="Arial" w:cs="Arial"/>
        </w:rPr>
        <w:t>organisation</w:t>
      </w:r>
      <w:proofErr w:type="spellEnd"/>
      <w:r w:rsidRPr="003A40AA">
        <w:rPr>
          <w:rFonts w:ascii="Arial" w:hAnsi="Arial" w:cs="Arial"/>
        </w:rPr>
        <w:t xml:space="preserve">, institution and the like to provide goods or services to the benefit of </w:t>
      </w:r>
      <w:r w:rsidR="006E4635">
        <w:rPr>
          <w:rFonts w:ascii="Arial" w:hAnsi="Arial" w:cs="Arial"/>
        </w:rPr>
        <w:t xml:space="preserve">Amarin </w:t>
      </w:r>
      <w:r w:rsidRPr="003A40AA">
        <w:rPr>
          <w:rFonts w:ascii="Arial" w:hAnsi="Arial" w:cs="Arial"/>
        </w:rPr>
        <w:t>in return. In general, donations are physical items, services or benefits-in-kind which may be offered or requested. Grants are the provision of funds.</w:t>
      </w:r>
    </w:p>
    <w:p w14:paraId="4F616C77" w14:textId="01474933" w:rsidR="00003570" w:rsidRPr="00555B3E" w:rsidRDefault="00555B3E" w:rsidP="00D72BBA">
      <w:pPr>
        <w:pStyle w:val="ListParagraph"/>
        <w:numPr>
          <w:ilvl w:val="0"/>
          <w:numId w:val="1"/>
        </w:numPr>
        <w:spacing w:after="120" w:line="240" w:lineRule="auto"/>
        <w:ind w:left="360"/>
        <w:contextualSpacing w:val="0"/>
        <w:jc w:val="both"/>
        <w:rPr>
          <w:rFonts w:ascii="Arial" w:hAnsi="Arial" w:cs="Arial"/>
        </w:rPr>
      </w:pPr>
      <w:r w:rsidRPr="00555B3E">
        <w:rPr>
          <w:rFonts w:ascii="Arial" w:hAnsi="Arial" w:cs="Arial"/>
          <w:b/>
          <w:bCs/>
        </w:rPr>
        <w:t>“Healthcare Professional (HCP)”</w:t>
      </w:r>
      <w:r w:rsidRPr="00555B3E">
        <w:rPr>
          <w:rFonts w:ascii="Arial" w:hAnsi="Arial" w:cs="Arial"/>
        </w:rPr>
        <w:t xml:space="preserve">: </w:t>
      </w:r>
      <w:r w:rsidR="0018416F">
        <w:rPr>
          <w:rFonts w:ascii="Arial" w:hAnsi="Arial" w:cs="Arial"/>
        </w:rPr>
        <w:t>Any</w:t>
      </w:r>
      <w:r w:rsidR="0018416F" w:rsidRPr="0018416F">
        <w:rPr>
          <w:rFonts w:ascii="Arial" w:hAnsi="Arial" w:cs="Arial"/>
        </w:rPr>
        <w:t xml:space="preserve"> member of the medical, dental, pharmacy or nursing profession and any other person who </w:t>
      </w:r>
      <w:proofErr w:type="gramStart"/>
      <w:r w:rsidR="0018416F" w:rsidRPr="0018416F">
        <w:rPr>
          <w:rFonts w:ascii="Arial" w:hAnsi="Arial" w:cs="Arial"/>
        </w:rPr>
        <w:t>in the course of</w:t>
      </w:r>
      <w:proofErr w:type="gramEnd"/>
      <w:r w:rsidR="0018416F" w:rsidRPr="0018416F">
        <w:rPr>
          <w:rFonts w:ascii="Arial" w:hAnsi="Arial" w:cs="Arial"/>
        </w:rPr>
        <w:t xml:space="preserve"> their professional activities may administer, prescribe, purchase, recommend or supply a medicine</w:t>
      </w:r>
      <w:r w:rsidR="00EF23AD" w:rsidRPr="00EF23AD">
        <w:rPr>
          <w:rFonts w:ascii="Arial" w:hAnsi="Arial" w:cs="Arial"/>
        </w:rPr>
        <w:t>.</w:t>
      </w:r>
      <w:r w:rsidR="00EF23AD">
        <w:rPr>
          <w:rFonts w:ascii="Arial" w:hAnsi="Arial" w:cs="Arial"/>
        </w:rPr>
        <w:t xml:space="preserve"> </w:t>
      </w:r>
      <w:r w:rsidR="0018416F" w:rsidRPr="0018416F">
        <w:rPr>
          <w:rFonts w:ascii="Arial" w:hAnsi="Arial" w:cs="Arial"/>
        </w:rPr>
        <w:t xml:space="preserve">In relation to the annual disclosure of transfers of value, the term also includes any employee of a pharmaceutical company whose primary occupation is that of a </w:t>
      </w:r>
      <w:proofErr w:type="spellStart"/>
      <w:r w:rsidR="0018416F" w:rsidRPr="0018416F">
        <w:rPr>
          <w:rFonts w:ascii="Arial" w:hAnsi="Arial" w:cs="Arial"/>
        </w:rPr>
        <w:t>practising</w:t>
      </w:r>
      <w:proofErr w:type="spellEnd"/>
      <w:r w:rsidR="0018416F" w:rsidRPr="0018416F">
        <w:rPr>
          <w:rFonts w:ascii="Arial" w:hAnsi="Arial" w:cs="Arial"/>
        </w:rPr>
        <w:t xml:space="preserve"> health professional.</w:t>
      </w:r>
      <w:r w:rsidR="0018416F">
        <w:rPr>
          <w:rFonts w:ascii="Arial" w:hAnsi="Arial" w:cs="Arial"/>
        </w:rPr>
        <w:t xml:space="preserve"> </w:t>
      </w:r>
      <w:r w:rsidRPr="00555B3E">
        <w:rPr>
          <w:rFonts w:ascii="Arial" w:hAnsi="Arial" w:cs="Arial"/>
        </w:rPr>
        <w:t xml:space="preserve">If an HCP has set up a private company, as a </w:t>
      </w:r>
      <w:r w:rsidR="00C42D7C" w:rsidRPr="00555B3E">
        <w:rPr>
          <w:rFonts w:ascii="Arial" w:hAnsi="Arial" w:cs="Arial"/>
        </w:rPr>
        <w:t>sole director</w:t>
      </w:r>
      <w:r w:rsidRPr="00555B3E">
        <w:rPr>
          <w:rFonts w:ascii="Arial" w:hAnsi="Arial" w:cs="Arial"/>
        </w:rPr>
        <w:t xml:space="preserve">, they will be considered an HCP for disclosure purposes. </w:t>
      </w:r>
    </w:p>
    <w:p w14:paraId="3CD5AD4F" w14:textId="19F409AB" w:rsidR="00003570" w:rsidRPr="003A40AA" w:rsidRDefault="00555B3E" w:rsidP="00003570">
      <w:pPr>
        <w:pStyle w:val="ListParagraph"/>
        <w:numPr>
          <w:ilvl w:val="0"/>
          <w:numId w:val="1"/>
        </w:numPr>
        <w:spacing w:after="120" w:line="240" w:lineRule="auto"/>
        <w:ind w:left="360"/>
        <w:contextualSpacing w:val="0"/>
        <w:jc w:val="both"/>
      </w:pPr>
      <w:r w:rsidRPr="003A40AA">
        <w:rPr>
          <w:rFonts w:ascii="Arial" w:hAnsi="Arial" w:cs="Arial"/>
          <w:b/>
          <w:bCs/>
        </w:rPr>
        <w:t xml:space="preserve">“Healthcare </w:t>
      </w:r>
      <w:proofErr w:type="spellStart"/>
      <w:r w:rsidRPr="003A40AA">
        <w:rPr>
          <w:rFonts w:ascii="Arial" w:hAnsi="Arial" w:cs="Arial"/>
          <w:b/>
          <w:bCs/>
        </w:rPr>
        <w:t>Organisation</w:t>
      </w:r>
      <w:proofErr w:type="spellEnd"/>
      <w:r w:rsidRPr="003A40AA">
        <w:rPr>
          <w:rFonts w:ascii="Arial" w:hAnsi="Arial" w:cs="Arial"/>
          <w:b/>
          <w:bCs/>
        </w:rPr>
        <w:t xml:space="preserve"> (HCO)”:</w:t>
      </w:r>
      <w:r w:rsidRPr="003A40AA">
        <w:rPr>
          <w:rFonts w:ascii="Arial" w:hAnsi="Arial" w:cs="Arial"/>
        </w:rPr>
        <w:t xml:space="preserve"> </w:t>
      </w:r>
      <w:r w:rsidR="0018416F" w:rsidRPr="003A40AA">
        <w:rPr>
          <w:rFonts w:ascii="Arial" w:hAnsi="Arial" w:cs="Arial"/>
        </w:rPr>
        <w:t xml:space="preserve">a healthcare, medical or scientific association or </w:t>
      </w:r>
      <w:proofErr w:type="spellStart"/>
      <w:r w:rsidR="0018416F" w:rsidRPr="003A40AA">
        <w:rPr>
          <w:rFonts w:ascii="Arial" w:hAnsi="Arial" w:cs="Arial"/>
        </w:rPr>
        <w:t>organisation</w:t>
      </w:r>
      <w:proofErr w:type="spellEnd"/>
      <w:r w:rsidR="0018416F" w:rsidRPr="003A40AA">
        <w:rPr>
          <w:rFonts w:ascii="Arial" w:hAnsi="Arial" w:cs="Arial"/>
        </w:rPr>
        <w:t xml:space="preserve"> such as a hospital, clinic, foundation, </w:t>
      </w:r>
      <w:proofErr w:type="gramStart"/>
      <w:r w:rsidR="0018416F" w:rsidRPr="003A40AA">
        <w:rPr>
          <w:rFonts w:ascii="Arial" w:hAnsi="Arial" w:cs="Arial"/>
        </w:rPr>
        <w:t>university</w:t>
      </w:r>
      <w:proofErr w:type="gramEnd"/>
      <w:r w:rsidR="0018416F" w:rsidRPr="003A40AA">
        <w:rPr>
          <w:rFonts w:ascii="Arial" w:hAnsi="Arial" w:cs="Arial"/>
        </w:rPr>
        <w:t xml:space="preserve"> or other teaching institution or learned society whose business address, place of incorporation or primary place of operation is in Europe or an </w:t>
      </w:r>
      <w:proofErr w:type="spellStart"/>
      <w:r w:rsidR="0018416F" w:rsidRPr="003A40AA">
        <w:rPr>
          <w:rFonts w:ascii="Arial" w:hAnsi="Arial" w:cs="Arial"/>
        </w:rPr>
        <w:t>organisation</w:t>
      </w:r>
      <w:proofErr w:type="spellEnd"/>
      <w:r w:rsidR="0018416F" w:rsidRPr="003A40AA">
        <w:rPr>
          <w:rFonts w:ascii="Arial" w:hAnsi="Arial" w:cs="Arial"/>
        </w:rPr>
        <w:t xml:space="preserve"> through which one or more health professionals or other relevant decision makers provide services.</w:t>
      </w:r>
      <w:r w:rsidR="0018416F" w:rsidRPr="003A40AA" w:rsidDel="0018416F">
        <w:rPr>
          <w:rFonts w:ascii="Arial" w:hAnsi="Arial" w:cs="Arial"/>
        </w:rPr>
        <w:t xml:space="preserve"> </w:t>
      </w:r>
    </w:p>
    <w:p w14:paraId="6A47821C" w14:textId="7E5DFF1B" w:rsidR="0018416F" w:rsidRPr="00003570" w:rsidRDefault="00003570" w:rsidP="00003570">
      <w:pPr>
        <w:pStyle w:val="ListParagraph"/>
        <w:numPr>
          <w:ilvl w:val="0"/>
          <w:numId w:val="1"/>
        </w:numPr>
        <w:spacing w:after="120" w:line="240" w:lineRule="auto"/>
        <w:ind w:left="360"/>
        <w:contextualSpacing w:val="0"/>
        <w:jc w:val="both"/>
      </w:pPr>
      <w:r w:rsidRPr="003A40AA">
        <w:rPr>
          <w:rFonts w:ascii="Arial" w:hAnsi="Arial" w:cs="Arial"/>
          <w:b/>
          <w:bCs/>
        </w:rPr>
        <w:t>“Hospitality”:</w:t>
      </w:r>
      <w:r w:rsidRPr="003A40AA">
        <w:rPr>
          <w:rFonts w:ascii="Arial" w:hAnsi="Arial" w:cs="Arial"/>
        </w:rPr>
        <w:t xml:space="preserve"> is limited to travel, subsistence (food and drink), accommodation and genuine registration fees extended in connection with events/meetings</w:t>
      </w:r>
      <w:r w:rsidR="00637931">
        <w:rPr>
          <w:rFonts w:ascii="Arial" w:hAnsi="Arial" w:cs="Arial"/>
        </w:rPr>
        <w:t>.</w:t>
      </w:r>
    </w:p>
    <w:p w14:paraId="02B487DD" w14:textId="77777777" w:rsidR="006F0BE7" w:rsidRPr="00842990" w:rsidRDefault="006F0BE7" w:rsidP="006F0BE7">
      <w:pPr>
        <w:pStyle w:val="ListParagraph"/>
        <w:numPr>
          <w:ilvl w:val="0"/>
          <w:numId w:val="1"/>
        </w:numPr>
        <w:spacing w:after="120" w:line="240" w:lineRule="auto"/>
        <w:ind w:left="360"/>
        <w:contextualSpacing w:val="0"/>
        <w:jc w:val="both"/>
        <w:rPr>
          <w:rFonts w:ascii="Arial" w:hAnsi="Arial" w:cs="Arial"/>
        </w:rPr>
      </w:pPr>
      <w:r>
        <w:rPr>
          <w:rFonts w:ascii="Arial" w:hAnsi="Arial" w:cs="Arial"/>
          <w:b/>
          <w:bCs/>
        </w:rPr>
        <w:t>“</w:t>
      </w:r>
      <w:r w:rsidRPr="0018416F">
        <w:rPr>
          <w:rFonts w:ascii="Arial" w:hAnsi="Arial" w:cs="Arial"/>
          <w:b/>
          <w:bCs/>
        </w:rPr>
        <w:t>Other relevant decision maker</w:t>
      </w:r>
      <w:r>
        <w:rPr>
          <w:rFonts w:ascii="Arial" w:hAnsi="Arial" w:cs="Arial"/>
          <w:b/>
          <w:bCs/>
        </w:rPr>
        <w:t xml:space="preserve"> (ORDM)”</w:t>
      </w:r>
      <w:r w:rsidRPr="0018416F">
        <w:rPr>
          <w:rFonts w:ascii="Arial" w:hAnsi="Arial" w:cs="Arial"/>
          <w:b/>
          <w:bCs/>
        </w:rPr>
        <w:t xml:space="preserve"> </w:t>
      </w:r>
      <w:r>
        <w:rPr>
          <w:rFonts w:ascii="Arial" w:hAnsi="Arial" w:cs="Arial"/>
        </w:rPr>
        <w:t>I</w:t>
      </w:r>
      <w:r w:rsidRPr="00842990">
        <w:rPr>
          <w:rFonts w:ascii="Arial" w:hAnsi="Arial" w:cs="Arial"/>
        </w:rPr>
        <w:t xml:space="preserve">ncludes someone with an NHS role who could influence in any way the administration, consumption, prescription, purchase, recommendation, sale, </w:t>
      </w:r>
      <w:proofErr w:type="gramStart"/>
      <w:r w:rsidRPr="00842990">
        <w:rPr>
          <w:rFonts w:ascii="Arial" w:hAnsi="Arial" w:cs="Arial"/>
        </w:rPr>
        <w:t>supply</w:t>
      </w:r>
      <w:proofErr w:type="gramEnd"/>
      <w:r w:rsidRPr="00842990">
        <w:rPr>
          <w:rFonts w:ascii="Arial" w:hAnsi="Arial" w:cs="Arial"/>
        </w:rPr>
        <w:t xml:space="preserve"> or use of any medicine but who is not a health professional.</w:t>
      </w:r>
    </w:p>
    <w:p w14:paraId="5A9E5103" w14:textId="3ACFDE04" w:rsidR="00555B3E" w:rsidRPr="0018416F" w:rsidRDefault="00555B3E" w:rsidP="00D72BBA">
      <w:pPr>
        <w:pStyle w:val="ListParagraph"/>
        <w:numPr>
          <w:ilvl w:val="0"/>
          <w:numId w:val="1"/>
        </w:numPr>
        <w:spacing w:after="120" w:line="240" w:lineRule="auto"/>
        <w:ind w:left="360"/>
        <w:contextualSpacing w:val="0"/>
        <w:jc w:val="both"/>
        <w:rPr>
          <w:rFonts w:ascii="Arial" w:hAnsi="Arial" w:cs="Arial"/>
        </w:rPr>
      </w:pPr>
      <w:r w:rsidRPr="0018416F">
        <w:rPr>
          <w:rFonts w:ascii="Arial" w:hAnsi="Arial" w:cs="Arial"/>
          <w:b/>
          <w:bCs/>
        </w:rPr>
        <w:t xml:space="preserve">“Patient </w:t>
      </w:r>
      <w:proofErr w:type="spellStart"/>
      <w:r w:rsidR="005556E3" w:rsidRPr="0018416F">
        <w:rPr>
          <w:rFonts w:ascii="Arial" w:hAnsi="Arial" w:cs="Arial"/>
          <w:b/>
          <w:bCs/>
        </w:rPr>
        <w:t>Organisation</w:t>
      </w:r>
      <w:proofErr w:type="spellEnd"/>
      <w:r w:rsidR="005556E3" w:rsidRPr="0018416F">
        <w:rPr>
          <w:rFonts w:ascii="Arial" w:hAnsi="Arial" w:cs="Arial"/>
          <w:b/>
          <w:bCs/>
        </w:rPr>
        <w:t xml:space="preserve"> </w:t>
      </w:r>
      <w:r w:rsidRPr="0018416F">
        <w:rPr>
          <w:rFonts w:ascii="Arial" w:hAnsi="Arial" w:cs="Arial"/>
          <w:b/>
          <w:bCs/>
        </w:rPr>
        <w:t>(PO)”</w:t>
      </w:r>
      <w:r w:rsidRPr="0018416F">
        <w:rPr>
          <w:rFonts w:ascii="Arial" w:hAnsi="Arial" w:cs="Arial"/>
        </w:rPr>
        <w:t xml:space="preserve">: </w:t>
      </w:r>
      <w:r w:rsidR="0018416F">
        <w:rPr>
          <w:rFonts w:ascii="Arial" w:hAnsi="Arial" w:cs="Arial"/>
        </w:rPr>
        <w:t>A</w:t>
      </w:r>
      <w:r w:rsidR="0018416F" w:rsidRPr="0018416F">
        <w:rPr>
          <w:rFonts w:ascii="Arial" w:hAnsi="Arial" w:cs="Arial"/>
        </w:rPr>
        <w:t xml:space="preserve">n </w:t>
      </w:r>
      <w:proofErr w:type="spellStart"/>
      <w:r w:rsidR="0018416F" w:rsidRPr="0018416F">
        <w:rPr>
          <w:rFonts w:ascii="Arial" w:hAnsi="Arial" w:cs="Arial"/>
        </w:rPr>
        <w:t>organisation</w:t>
      </w:r>
      <w:proofErr w:type="spellEnd"/>
      <w:r w:rsidR="0018416F" w:rsidRPr="0018416F">
        <w:rPr>
          <w:rFonts w:ascii="Arial" w:hAnsi="Arial" w:cs="Arial"/>
        </w:rPr>
        <w:t xml:space="preserve"> mainly comprising of patients and/or caregivers or any user </w:t>
      </w:r>
      <w:proofErr w:type="spellStart"/>
      <w:r w:rsidR="0018416F" w:rsidRPr="0018416F">
        <w:rPr>
          <w:rFonts w:ascii="Arial" w:hAnsi="Arial" w:cs="Arial"/>
        </w:rPr>
        <w:t>organisation</w:t>
      </w:r>
      <w:proofErr w:type="spellEnd"/>
      <w:r w:rsidR="0018416F" w:rsidRPr="0018416F">
        <w:rPr>
          <w:rFonts w:ascii="Arial" w:hAnsi="Arial" w:cs="Arial"/>
        </w:rPr>
        <w:t xml:space="preserve"> such as a disability </w:t>
      </w:r>
      <w:proofErr w:type="spellStart"/>
      <w:r w:rsidR="0018416F" w:rsidRPr="0018416F">
        <w:rPr>
          <w:rFonts w:ascii="Arial" w:hAnsi="Arial" w:cs="Arial"/>
        </w:rPr>
        <w:t>organisation</w:t>
      </w:r>
      <w:proofErr w:type="spellEnd"/>
      <w:r w:rsidR="0018416F" w:rsidRPr="0018416F">
        <w:rPr>
          <w:rFonts w:ascii="Arial" w:hAnsi="Arial" w:cs="Arial"/>
        </w:rPr>
        <w:t xml:space="preserve">, carer or relative </w:t>
      </w:r>
      <w:proofErr w:type="spellStart"/>
      <w:r w:rsidR="0018416F" w:rsidRPr="0018416F">
        <w:rPr>
          <w:rFonts w:ascii="Arial" w:hAnsi="Arial" w:cs="Arial"/>
        </w:rPr>
        <w:t>organisation</w:t>
      </w:r>
      <w:proofErr w:type="spellEnd"/>
      <w:r w:rsidR="0018416F" w:rsidRPr="0018416F">
        <w:rPr>
          <w:rFonts w:ascii="Arial" w:hAnsi="Arial" w:cs="Arial"/>
        </w:rPr>
        <w:t xml:space="preserve"> and consumer </w:t>
      </w:r>
      <w:proofErr w:type="spellStart"/>
      <w:r w:rsidR="0018416F" w:rsidRPr="0018416F">
        <w:rPr>
          <w:rFonts w:ascii="Arial" w:hAnsi="Arial" w:cs="Arial"/>
        </w:rPr>
        <w:t>organisation</w:t>
      </w:r>
      <w:proofErr w:type="spellEnd"/>
      <w:r w:rsidR="0018416F" w:rsidRPr="0018416F">
        <w:rPr>
          <w:rFonts w:ascii="Arial" w:hAnsi="Arial" w:cs="Arial"/>
        </w:rPr>
        <w:t xml:space="preserve"> that represents and/or supports the needs of patients and/or caregivers.</w:t>
      </w:r>
    </w:p>
    <w:p w14:paraId="45969448" w14:textId="77777777" w:rsidR="001E732D" w:rsidRPr="003A40AA" w:rsidRDefault="006F0BE7" w:rsidP="001E732D">
      <w:pPr>
        <w:pStyle w:val="ListParagraph"/>
        <w:numPr>
          <w:ilvl w:val="0"/>
          <w:numId w:val="1"/>
        </w:numPr>
        <w:spacing w:after="120" w:line="240" w:lineRule="auto"/>
        <w:ind w:left="360"/>
        <w:contextualSpacing w:val="0"/>
        <w:jc w:val="both"/>
        <w:rPr>
          <w:rFonts w:ascii="Arial" w:hAnsi="Arial" w:cs="Arial"/>
        </w:rPr>
      </w:pPr>
      <w:r>
        <w:rPr>
          <w:rFonts w:ascii="Arial" w:hAnsi="Arial" w:cs="Arial"/>
          <w:b/>
          <w:bCs/>
        </w:rPr>
        <w:t>“</w:t>
      </w:r>
      <w:r w:rsidRPr="0018416F">
        <w:rPr>
          <w:rFonts w:ascii="Arial" w:hAnsi="Arial" w:cs="Arial"/>
          <w:b/>
          <w:bCs/>
        </w:rPr>
        <w:t>Individuals representing patient organisations</w:t>
      </w:r>
      <w:r>
        <w:rPr>
          <w:rFonts w:ascii="Arial" w:hAnsi="Arial" w:cs="Arial"/>
          <w:b/>
          <w:bCs/>
        </w:rPr>
        <w:t xml:space="preserve">”: </w:t>
      </w:r>
      <w:r w:rsidRPr="00842990">
        <w:rPr>
          <w:rFonts w:ascii="Arial" w:hAnsi="Arial" w:cs="Arial"/>
        </w:rPr>
        <w:t xml:space="preserve">Any person who is mandated to represent and express the views of a patient </w:t>
      </w:r>
      <w:proofErr w:type="spellStart"/>
      <w:r w:rsidRPr="00842990">
        <w:rPr>
          <w:rFonts w:ascii="Arial" w:hAnsi="Arial" w:cs="Arial"/>
        </w:rPr>
        <w:t>organisation</w:t>
      </w:r>
      <w:proofErr w:type="spellEnd"/>
      <w:r w:rsidRPr="00842990">
        <w:rPr>
          <w:rFonts w:ascii="Arial" w:hAnsi="Arial" w:cs="Arial"/>
        </w:rPr>
        <w:t>.</w:t>
      </w:r>
      <w:r w:rsidRPr="0018416F">
        <w:rPr>
          <w:rFonts w:ascii="Arial" w:hAnsi="Arial" w:cs="Arial"/>
          <w:b/>
          <w:bCs/>
        </w:rPr>
        <w:t xml:space="preserve"> </w:t>
      </w:r>
    </w:p>
    <w:p w14:paraId="46E12518" w14:textId="0125A744" w:rsidR="001E732D" w:rsidRPr="003A40AA" w:rsidRDefault="001E732D" w:rsidP="003A40AA">
      <w:pPr>
        <w:pStyle w:val="ListParagraph"/>
        <w:numPr>
          <w:ilvl w:val="0"/>
          <w:numId w:val="1"/>
        </w:numPr>
        <w:spacing w:after="120" w:line="240" w:lineRule="auto"/>
        <w:ind w:left="360"/>
        <w:contextualSpacing w:val="0"/>
        <w:jc w:val="both"/>
        <w:rPr>
          <w:rFonts w:ascii="Arial" w:hAnsi="Arial" w:cs="Arial"/>
        </w:rPr>
      </w:pPr>
      <w:r w:rsidRPr="003A40AA">
        <w:rPr>
          <w:rFonts w:ascii="Arial" w:hAnsi="Arial" w:cs="Arial"/>
          <w:b/>
          <w:bCs/>
        </w:rPr>
        <w:t>“Members of the public”:</w:t>
      </w:r>
      <w:r w:rsidRPr="003A40AA">
        <w:rPr>
          <w:rFonts w:ascii="Arial" w:hAnsi="Arial" w:cs="Arial"/>
        </w:rPr>
        <w:t xml:space="preserve"> Any </w:t>
      </w:r>
      <w:proofErr w:type="spellStart"/>
      <w:r w:rsidRPr="003A40AA">
        <w:rPr>
          <w:rFonts w:ascii="Arial" w:hAnsi="Arial" w:cs="Arial"/>
        </w:rPr>
        <w:t>ToV</w:t>
      </w:r>
      <w:proofErr w:type="spellEnd"/>
      <w:r w:rsidRPr="003A40AA">
        <w:rPr>
          <w:rFonts w:ascii="Arial" w:hAnsi="Arial" w:cs="Arial"/>
        </w:rPr>
        <w:t xml:space="preserve"> made directly by </w:t>
      </w:r>
      <w:r w:rsidR="006E4635">
        <w:rPr>
          <w:rFonts w:ascii="Arial" w:hAnsi="Arial" w:cs="Arial"/>
        </w:rPr>
        <w:t xml:space="preserve">Amarin </w:t>
      </w:r>
      <w:r w:rsidRPr="003A40AA">
        <w:rPr>
          <w:rFonts w:ascii="Arial" w:hAnsi="Arial" w:cs="Arial"/>
        </w:rPr>
        <w:t xml:space="preserve">or via a third party on its behalf to members of the public including individual patients, carers and journalists is disclosed in aggregate on </w:t>
      </w:r>
      <w:r>
        <w:rPr>
          <w:rFonts w:ascii="Arial" w:hAnsi="Arial" w:cs="Arial"/>
        </w:rPr>
        <w:t>Amarin</w:t>
      </w:r>
      <w:r w:rsidRPr="003A40AA">
        <w:rPr>
          <w:rFonts w:ascii="Arial" w:hAnsi="Arial" w:cs="Arial"/>
        </w:rPr>
        <w:t xml:space="preserve"> corporate website annually.</w:t>
      </w:r>
    </w:p>
    <w:p w14:paraId="1DA697E1" w14:textId="0598B7CC" w:rsidR="006F0BE7" w:rsidRPr="00842990" w:rsidRDefault="006F0BE7" w:rsidP="006F0BE7">
      <w:pPr>
        <w:pStyle w:val="ListParagraph"/>
        <w:numPr>
          <w:ilvl w:val="0"/>
          <w:numId w:val="1"/>
        </w:numPr>
        <w:spacing w:after="120" w:line="240" w:lineRule="auto"/>
        <w:ind w:left="360"/>
        <w:contextualSpacing w:val="0"/>
        <w:jc w:val="both"/>
        <w:rPr>
          <w:rFonts w:ascii="Arial" w:hAnsi="Arial" w:cs="Arial"/>
        </w:rPr>
      </w:pPr>
      <w:r w:rsidRPr="003A40AA">
        <w:rPr>
          <w:rFonts w:ascii="Arial" w:hAnsi="Arial" w:cs="Arial"/>
          <w:b/>
          <w:bCs/>
        </w:rPr>
        <w:t>“Sponsorship”:</w:t>
      </w:r>
      <w:r w:rsidRPr="006F0BE7">
        <w:rPr>
          <w:rFonts w:ascii="Arial" w:hAnsi="Arial" w:cs="Arial"/>
        </w:rPr>
        <w:t xml:space="preserve"> a contribution, financial or otherwise, in whole or in part provided by or on behalf of a company, towards an activity (including an event/meeting or material) performed, </w:t>
      </w:r>
      <w:proofErr w:type="spellStart"/>
      <w:r w:rsidRPr="006F0BE7">
        <w:rPr>
          <w:rFonts w:ascii="Arial" w:hAnsi="Arial" w:cs="Arial"/>
        </w:rPr>
        <w:t>organised</w:t>
      </w:r>
      <w:proofErr w:type="spellEnd"/>
      <w:r w:rsidRPr="006F0BE7">
        <w:rPr>
          <w:rFonts w:ascii="Arial" w:hAnsi="Arial" w:cs="Arial"/>
        </w:rPr>
        <w:t xml:space="preserve">, created </w:t>
      </w:r>
      <w:proofErr w:type="spellStart"/>
      <w:r w:rsidRPr="006F0BE7">
        <w:rPr>
          <w:rFonts w:ascii="Arial" w:hAnsi="Arial" w:cs="Arial"/>
        </w:rPr>
        <w:t>etc</w:t>
      </w:r>
      <w:proofErr w:type="spellEnd"/>
      <w:r w:rsidRPr="006F0BE7">
        <w:rPr>
          <w:rFonts w:ascii="Arial" w:hAnsi="Arial" w:cs="Arial"/>
        </w:rPr>
        <w:t xml:space="preserve"> by a healthcare </w:t>
      </w:r>
      <w:proofErr w:type="spellStart"/>
      <w:r w:rsidRPr="006F0BE7">
        <w:rPr>
          <w:rFonts w:ascii="Arial" w:hAnsi="Arial" w:cs="Arial"/>
        </w:rPr>
        <w:t>organisation</w:t>
      </w:r>
      <w:proofErr w:type="spellEnd"/>
      <w:r w:rsidRPr="006F0BE7">
        <w:rPr>
          <w:rFonts w:ascii="Arial" w:hAnsi="Arial" w:cs="Arial"/>
        </w:rPr>
        <w:t xml:space="preserve">, patient </w:t>
      </w:r>
      <w:proofErr w:type="spellStart"/>
      <w:r w:rsidRPr="006F0BE7">
        <w:rPr>
          <w:rFonts w:ascii="Arial" w:hAnsi="Arial" w:cs="Arial"/>
        </w:rPr>
        <w:t>organisation</w:t>
      </w:r>
      <w:proofErr w:type="spellEnd"/>
      <w:r w:rsidRPr="006F0BE7">
        <w:rPr>
          <w:rFonts w:ascii="Arial" w:hAnsi="Arial" w:cs="Arial"/>
        </w:rPr>
        <w:t xml:space="preserve"> or other independent </w:t>
      </w:r>
      <w:proofErr w:type="spellStart"/>
      <w:r w:rsidRPr="006F0BE7">
        <w:rPr>
          <w:rFonts w:ascii="Arial" w:hAnsi="Arial" w:cs="Arial"/>
        </w:rPr>
        <w:t>organisation</w:t>
      </w:r>
      <w:proofErr w:type="spellEnd"/>
      <w:r w:rsidRPr="006F0BE7">
        <w:rPr>
          <w:rFonts w:ascii="Arial" w:hAnsi="Arial" w:cs="Arial"/>
        </w:rPr>
        <w:t>.</w:t>
      </w:r>
    </w:p>
    <w:p w14:paraId="4B6AAC72" w14:textId="6B04DD09" w:rsidR="006F0BE7" w:rsidRPr="003A40AA" w:rsidRDefault="006F0BE7" w:rsidP="00D72BBA">
      <w:pPr>
        <w:pStyle w:val="ListParagraph"/>
        <w:numPr>
          <w:ilvl w:val="0"/>
          <w:numId w:val="1"/>
        </w:numPr>
        <w:spacing w:after="120" w:line="240" w:lineRule="auto"/>
        <w:ind w:left="360"/>
        <w:contextualSpacing w:val="0"/>
        <w:jc w:val="both"/>
        <w:rPr>
          <w:rFonts w:ascii="Arial" w:hAnsi="Arial" w:cs="Arial"/>
        </w:rPr>
      </w:pPr>
      <w:r>
        <w:rPr>
          <w:rFonts w:ascii="Arial" w:hAnsi="Arial" w:cs="Arial"/>
          <w:b/>
          <w:bCs/>
        </w:rPr>
        <w:lastRenderedPageBreak/>
        <w:t>“</w:t>
      </w:r>
      <w:r w:rsidRPr="006F0BE7">
        <w:rPr>
          <w:rFonts w:ascii="Arial" w:hAnsi="Arial" w:cs="Arial"/>
          <w:b/>
          <w:bCs/>
        </w:rPr>
        <w:t>Support</w:t>
      </w:r>
      <w:r>
        <w:rPr>
          <w:rFonts w:ascii="Arial" w:hAnsi="Arial" w:cs="Arial"/>
          <w:b/>
          <w:bCs/>
        </w:rPr>
        <w:t xml:space="preserve">”: </w:t>
      </w:r>
      <w:r w:rsidRPr="003A40AA">
        <w:rPr>
          <w:rFonts w:ascii="Arial" w:hAnsi="Arial" w:cs="Arial"/>
        </w:rPr>
        <w:t>provision of a financial contribution, in whole or in part, whether paid directly or indirectly to individual health professionals or other relevant decision makers to attend events/meetings.</w:t>
      </w:r>
      <w:r w:rsidRPr="006F0BE7">
        <w:rPr>
          <w:rFonts w:ascii="Arial" w:hAnsi="Arial" w:cs="Arial"/>
          <w:b/>
          <w:bCs/>
        </w:rPr>
        <w:t xml:space="preserve"> </w:t>
      </w:r>
    </w:p>
    <w:p w14:paraId="4AEBDD27" w14:textId="77777777" w:rsidR="001E732D" w:rsidRDefault="00555B3E" w:rsidP="006E4635">
      <w:pPr>
        <w:pStyle w:val="ListParagraph"/>
        <w:numPr>
          <w:ilvl w:val="0"/>
          <w:numId w:val="1"/>
        </w:numPr>
        <w:spacing w:after="120" w:line="240" w:lineRule="auto"/>
        <w:ind w:left="360"/>
        <w:jc w:val="both"/>
        <w:rPr>
          <w:rFonts w:ascii="Arial" w:hAnsi="Arial" w:cs="Arial"/>
        </w:rPr>
      </w:pPr>
      <w:r w:rsidRPr="00555B3E">
        <w:rPr>
          <w:rFonts w:ascii="Arial" w:hAnsi="Arial" w:cs="Arial"/>
          <w:b/>
          <w:bCs/>
        </w:rPr>
        <w:t>“Transfer of Values (TOV)”:</w:t>
      </w:r>
      <w:r w:rsidRPr="00555B3E">
        <w:rPr>
          <w:rFonts w:ascii="Arial" w:hAnsi="Arial" w:cs="Arial"/>
        </w:rPr>
        <w:t xml:space="preserve"> </w:t>
      </w:r>
      <w:r w:rsidR="006F0BE7">
        <w:rPr>
          <w:rFonts w:ascii="Arial" w:hAnsi="Arial" w:cs="Arial"/>
        </w:rPr>
        <w:t>A</w:t>
      </w:r>
      <w:r w:rsidR="006F0BE7" w:rsidRPr="006F0BE7">
        <w:rPr>
          <w:rFonts w:ascii="Arial" w:hAnsi="Arial" w:cs="Arial"/>
        </w:rPr>
        <w:t xml:space="preserve"> direct or indirect transfer of value, whether in cash, in-kind or otherwise, made, whether for promotional purposes or otherwise, in connection with the development or sale of medicines. </w:t>
      </w:r>
    </w:p>
    <w:p w14:paraId="37453F0C" w14:textId="77777777" w:rsidR="001E732D" w:rsidRDefault="006F0BE7" w:rsidP="006E4635">
      <w:pPr>
        <w:pStyle w:val="ListParagraph"/>
        <w:numPr>
          <w:ilvl w:val="1"/>
          <w:numId w:val="1"/>
        </w:numPr>
        <w:spacing w:after="120" w:line="240" w:lineRule="auto"/>
        <w:ind w:left="720"/>
        <w:jc w:val="both"/>
        <w:rPr>
          <w:rFonts w:ascii="Arial" w:hAnsi="Arial" w:cs="Arial"/>
        </w:rPr>
      </w:pPr>
      <w:r w:rsidRPr="006F0BE7">
        <w:rPr>
          <w:rFonts w:ascii="Arial" w:hAnsi="Arial" w:cs="Arial"/>
        </w:rPr>
        <w:t xml:space="preserve">A direct transfer of value is one made directly by a company for the benefit of a recipient. </w:t>
      </w:r>
    </w:p>
    <w:p w14:paraId="7739B926" w14:textId="34EB9B20" w:rsidR="001E732D" w:rsidRDefault="006F0BE7" w:rsidP="006E4635">
      <w:pPr>
        <w:pStyle w:val="ListParagraph"/>
        <w:numPr>
          <w:ilvl w:val="1"/>
          <w:numId w:val="1"/>
        </w:numPr>
        <w:spacing w:after="120" w:line="240" w:lineRule="auto"/>
        <w:ind w:left="720"/>
        <w:jc w:val="both"/>
        <w:rPr>
          <w:rFonts w:ascii="Arial" w:hAnsi="Arial" w:cs="Arial"/>
        </w:rPr>
      </w:pPr>
      <w:r w:rsidRPr="006F0BE7">
        <w:rPr>
          <w:rFonts w:ascii="Arial" w:hAnsi="Arial" w:cs="Arial"/>
        </w:rPr>
        <w:t>An indirect transfer of value is one made on behalf of a company for the benefit of a recipient or through an intermediate and where the company knows or can identify the recipient that will benefit from the transfer of value</w:t>
      </w:r>
      <w:r w:rsidR="00555B3E" w:rsidRPr="00555B3E">
        <w:rPr>
          <w:rFonts w:ascii="Arial" w:hAnsi="Arial" w:cs="Arial"/>
        </w:rPr>
        <w:t xml:space="preserve">. </w:t>
      </w:r>
    </w:p>
    <w:p w14:paraId="09F98864" w14:textId="04CB97BC" w:rsidR="001E732D" w:rsidRDefault="001E732D" w:rsidP="006E4635">
      <w:pPr>
        <w:pStyle w:val="ListParagraph"/>
        <w:numPr>
          <w:ilvl w:val="1"/>
          <w:numId w:val="1"/>
        </w:numPr>
        <w:spacing w:after="120" w:line="240" w:lineRule="auto"/>
        <w:ind w:left="720"/>
        <w:jc w:val="both"/>
        <w:rPr>
          <w:rFonts w:ascii="Arial" w:hAnsi="Arial" w:cs="Arial"/>
        </w:rPr>
      </w:pPr>
      <w:r w:rsidRPr="001E732D">
        <w:rPr>
          <w:rFonts w:ascii="Arial" w:hAnsi="Arial" w:cs="Arial"/>
        </w:rPr>
        <w:t xml:space="preserve">In-kind: any significant non-monetary support provided to </w:t>
      </w:r>
      <w:proofErr w:type="gramStart"/>
      <w:r w:rsidRPr="001E732D">
        <w:rPr>
          <w:rFonts w:ascii="Arial" w:hAnsi="Arial" w:cs="Arial"/>
        </w:rPr>
        <w:t>benefitting</w:t>
      </w:r>
      <w:proofErr w:type="gramEnd"/>
      <w:r w:rsidRPr="001E732D">
        <w:rPr>
          <w:rFonts w:ascii="Arial" w:hAnsi="Arial" w:cs="Arial"/>
        </w:rPr>
        <w:t xml:space="preserve"> patient organizations</w:t>
      </w:r>
      <w:r w:rsidR="00877362">
        <w:rPr>
          <w:rFonts w:ascii="Arial" w:hAnsi="Arial" w:cs="Arial"/>
        </w:rPr>
        <w:t>.</w:t>
      </w:r>
    </w:p>
    <w:p w14:paraId="1F469DBD" w14:textId="17D0020B" w:rsidR="001E732D" w:rsidRPr="003A40AA" w:rsidRDefault="001E732D" w:rsidP="006E4635">
      <w:pPr>
        <w:pStyle w:val="ListParagraph"/>
        <w:numPr>
          <w:ilvl w:val="1"/>
          <w:numId w:val="1"/>
        </w:numPr>
        <w:spacing w:after="120" w:line="240" w:lineRule="auto"/>
        <w:ind w:left="720"/>
        <w:jc w:val="both"/>
        <w:rPr>
          <w:rFonts w:ascii="Arial" w:hAnsi="Arial" w:cs="Arial"/>
        </w:rPr>
      </w:pPr>
      <w:r w:rsidRPr="001E732D">
        <w:rPr>
          <w:rFonts w:ascii="Arial" w:hAnsi="Arial" w:cs="Arial"/>
        </w:rPr>
        <w:t xml:space="preserve">Cross-border </w:t>
      </w:r>
      <w:proofErr w:type="spellStart"/>
      <w:r w:rsidRPr="001E732D">
        <w:rPr>
          <w:rFonts w:ascii="Arial" w:hAnsi="Arial" w:cs="Arial"/>
        </w:rPr>
        <w:t>ToV</w:t>
      </w:r>
      <w:proofErr w:type="spellEnd"/>
      <w:r w:rsidRPr="001E732D">
        <w:rPr>
          <w:rFonts w:ascii="Arial" w:hAnsi="Arial" w:cs="Arial"/>
        </w:rPr>
        <w:t xml:space="preserve">: </w:t>
      </w:r>
      <w:proofErr w:type="spellStart"/>
      <w:r w:rsidRPr="001E732D">
        <w:rPr>
          <w:rFonts w:ascii="Arial" w:hAnsi="Arial" w:cs="Arial"/>
        </w:rPr>
        <w:t>ToV</w:t>
      </w:r>
      <w:proofErr w:type="spellEnd"/>
      <w:r w:rsidRPr="001E732D">
        <w:rPr>
          <w:rFonts w:ascii="Arial" w:hAnsi="Arial" w:cs="Arial"/>
        </w:rPr>
        <w:t xml:space="preserve"> to a patient organization where a non-</w:t>
      </w:r>
      <w:proofErr w:type="gramStart"/>
      <w:r w:rsidRPr="001E732D">
        <w:rPr>
          <w:rFonts w:ascii="Arial" w:hAnsi="Arial" w:cs="Arial"/>
        </w:rPr>
        <w:t xml:space="preserve">UK </w:t>
      </w:r>
      <w:r w:rsidR="006E4635">
        <w:rPr>
          <w:rFonts w:ascii="Arial" w:hAnsi="Arial" w:cs="Arial"/>
        </w:rPr>
        <w:t xml:space="preserve"> Amarin</w:t>
      </w:r>
      <w:proofErr w:type="gramEnd"/>
      <w:r w:rsidR="006E4635">
        <w:rPr>
          <w:rFonts w:ascii="Arial" w:hAnsi="Arial" w:cs="Arial"/>
        </w:rPr>
        <w:t xml:space="preserve"> </w:t>
      </w:r>
      <w:r w:rsidRPr="001E732D">
        <w:rPr>
          <w:rFonts w:ascii="Arial" w:hAnsi="Arial" w:cs="Arial"/>
        </w:rPr>
        <w:t xml:space="preserve">entity or intermediary </w:t>
      </w:r>
      <w:r w:rsidRPr="003A40AA">
        <w:rPr>
          <w:rFonts w:ascii="Arial" w:hAnsi="Arial" w:cs="Arial"/>
        </w:rPr>
        <w:t xml:space="preserve">on behalf of </w:t>
      </w:r>
      <w:r w:rsidR="006E4635">
        <w:rPr>
          <w:rFonts w:ascii="Arial" w:hAnsi="Arial" w:cs="Arial"/>
        </w:rPr>
        <w:t xml:space="preserve">Amarin </w:t>
      </w:r>
      <w:r w:rsidRPr="003A40AA">
        <w:rPr>
          <w:rFonts w:ascii="Arial" w:hAnsi="Arial" w:cs="Arial"/>
        </w:rPr>
        <w:t xml:space="preserve">has provided the funding and the patient </w:t>
      </w:r>
      <w:proofErr w:type="spellStart"/>
      <w:r w:rsidRPr="003A40AA">
        <w:rPr>
          <w:rFonts w:ascii="Arial" w:hAnsi="Arial" w:cs="Arial"/>
        </w:rPr>
        <w:t>organisation</w:t>
      </w:r>
      <w:proofErr w:type="spellEnd"/>
      <w:r w:rsidRPr="003A40AA">
        <w:rPr>
          <w:rFonts w:ascii="Arial" w:hAnsi="Arial" w:cs="Arial"/>
        </w:rPr>
        <w:t xml:space="preserve"> is registered at an address in the UK.</w:t>
      </w:r>
    </w:p>
    <w:p w14:paraId="4A2F78FB" w14:textId="648FCCDB" w:rsidR="001E732D" w:rsidRPr="003A40AA" w:rsidRDefault="001E732D" w:rsidP="006E4635">
      <w:pPr>
        <w:pStyle w:val="ListParagraph"/>
        <w:numPr>
          <w:ilvl w:val="1"/>
          <w:numId w:val="1"/>
        </w:numPr>
        <w:spacing w:after="120" w:line="240" w:lineRule="auto"/>
        <w:ind w:left="720"/>
        <w:jc w:val="both"/>
        <w:rPr>
          <w:rFonts w:ascii="Arial" w:hAnsi="Arial" w:cs="Arial"/>
        </w:rPr>
      </w:pPr>
      <w:proofErr w:type="spellStart"/>
      <w:r w:rsidRPr="00DC4690">
        <w:rPr>
          <w:rFonts w:ascii="Arial" w:hAnsi="Arial" w:cs="Arial"/>
        </w:rPr>
        <w:t>ToV</w:t>
      </w:r>
      <w:proofErr w:type="spellEnd"/>
      <w:r w:rsidRPr="00DC4690">
        <w:rPr>
          <w:rFonts w:ascii="Arial" w:hAnsi="Arial" w:cs="Arial"/>
        </w:rPr>
        <w:t xml:space="preserve"> to an individual patient, who does not represent or is not hired through a patient</w:t>
      </w:r>
      <w:r>
        <w:rPr>
          <w:rFonts w:ascii="Arial" w:hAnsi="Arial" w:cs="Arial"/>
        </w:rPr>
        <w:t xml:space="preserve"> </w:t>
      </w:r>
      <w:r w:rsidRPr="00842990">
        <w:rPr>
          <w:rFonts w:ascii="Arial" w:hAnsi="Arial" w:cs="Arial"/>
        </w:rPr>
        <w:t>organization, is disclosed in aggregate together with other members of the public including carers and journalists, for example</w:t>
      </w:r>
      <w:r w:rsidR="00877362">
        <w:rPr>
          <w:rFonts w:ascii="Arial" w:hAnsi="Arial" w:cs="Arial"/>
        </w:rPr>
        <w:t>.</w:t>
      </w:r>
    </w:p>
    <w:p w14:paraId="0696BB22" w14:textId="4DAAE853" w:rsidR="00555B3E" w:rsidRPr="003A40AA" w:rsidRDefault="00555B3E" w:rsidP="003A40AA">
      <w:pPr>
        <w:spacing w:after="120" w:line="240" w:lineRule="auto"/>
        <w:ind w:left="360"/>
        <w:jc w:val="both"/>
        <w:rPr>
          <w:rFonts w:ascii="Arial" w:hAnsi="Arial" w:cs="Arial"/>
        </w:rPr>
      </w:pPr>
      <w:r w:rsidRPr="003A40AA">
        <w:rPr>
          <w:rFonts w:ascii="Arial" w:hAnsi="Arial" w:cs="Arial"/>
        </w:rPr>
        <w:t xml:space="preserve">Any </w:t>
      </w:r>
      <w:proofErr w:type="spellStart"/>
      <w:r w:rsidRPr="003A40AA">
        <w:rPr>
          <w:rFonts w:ascii="Arial" w:hAnsi="Arial" w:cs="Arial"/>
        </w:rPr>
        <w:t>ToV</w:t>
      </w:r>
      <w:proofErr w:type="spellEnd"/>
      <w:r w:rsidRPr="003A40AA">
        <w:rPr>
          <w:rFonts w:ascii="Arial" w:hAnsi="Arial" w:cs="Arial"/>
        </w:rPr>
        <w:t xml:space="preserve"> related to HCP’s providing Consulting services must be of Fair Market Value (“FMV”), ensuring a high level of objectivity in the rate determination process and removing any potential bias.</w:t>
      </w:r>
      <w:r w:rsidR="00DC4690" w:rsidRPr="003A40AA">
        <w:rPr>
          <w:rFonts w:ascii="Arial" w:hAnsi="Arial" w:cs="Arial"/>
        </w:rPr>
        <w:t xml:space="preserve"> </w:t>
      </w:r>
    </w:p>
    <w:p w14:paraId="0C69DCFF" w14:textId="11D97B3A" w:rsidR="00555B3E" w:rsidRPr="00555B3E" w:rsidRDefault="00555B3E" w:rsidP="00D72BBA">
      <w:pPr>
        <w:pStyle w:val="ListParagraph"/>
        <w:numPr>
          <w:ilvl w:val="0"/>
          <w:numId w:val="1"/>
        </w:numPr>
        <w:spacing w:after="120" w:line="240" w:lineRule="auto"/>
        <w:ind w:left="360"/>
        <w:contextualSpacing w:val="0"/>
        <w:jc w:val="both"/>
        <w:rPr>
          <w:rFonts w:ascii="Arial" w:hAnsi="Arial" w:cs="Arial"/>
        </w:rPr>
      </w:pPr>
      <w:r w:rsidRPr="00555B3E">
        <w:rPr>
          <w:rFonts w:ascii="Arial" w:hAnsi="Arial" w:cs="Arial"/>
          <w:b/>
          <w:bCs/>
        </w:rPr>
        <w:t>“Recipients”:</w:t>
      </w:r>
      <w:r w:rsidRPr="00555B3E">
        <w:rPr>
          <w:rFonts w:ascii="Arial" w:hAnsi="Arial" w:cs="Arial"/>
        </w:rPr>
        <w:t xml:space="preserve"> Any HCP, HCO</w:t>
      </w:r>
      <w:r w:rsidR="0018416F">
        <w:rPr>
          <w:rFonts w:ascii="Arial" w:hAnsi="Arial" w:cs="Arial"/>
        </w:rPr>
        <w:t>,</w:t>
      </w:r>
      <w:r w:rsidRPr="00555B3E">
        <w:rPr>
          <w:rFonts w:ascii="Arial" w:hAnsi="Arial" w:cs="Arial"/>
        </w:rPr>
        <w:t xml:space="preserve"> </w:t>
      </w:r>
      <w:proofErr w:type="gramStart"/>
      <w:r w:rsidRPr="00555B3E">
        <w:rPr>
          <w:rFonts w:ascii="Arial" w:hAnsi="Arial" w:cs="Arial"/>
        </w:rPr>
        <w:t>PO</w:t>
      </w:r>
      <w:proofErr w:type="gramEnd"/>
      <w:r w:rsidRPr="00555B3E">
        <w:rPr>
          <w:rFonts w:ascii="Arial" w:hAnsi="Arial" w:cs="Arial"/>
        </w:rPr>
        <w:t xml:space="preserve"> </w:t>
      </w:r>
      <w:r w:rsidR="0018416F">
        <w:rPr>
          <w:rFonts w:ascii="Arial" w:hAnsi="Arial" w:cs="Arial"/>
        </w:rPr>
        <w:t xml:space="preserve">or member of the public </w:t>
      </w:r>
      <w:r w:rsidRPr="00555B3E">
        <w:rPr>
          <w:rFonts w:ascii="Arial" w:hAnsi="Arial" w:cs="Arial"/>
        </w:rPr>
        <w:t xml:space="preserve">receiving a </w:t>
      </w:r>
      <w:proofErr w:type="spellStart"/>
      <w:r w:rsidRPr="00555B3E">
        <w:rPr>
          <w:rFonts w:ascii="Arial" w:hAnsi="Arial" w:cs="Arial"/>
        </w:rPr>
        <w:t>ToV</w:t>
      </w:r>
      <w:proofErr w:type="spellEnd"/>
      <w:r w:rsidRPr="00555B3E">
        <w:rPr>
          <w:rFonts w:ascii="Arial" w:hAnsi="Arial" w:cs="Arial"/>
        </w:rPr>
        <w:t xml:space="preserve"> from Amarin or on Amarin’s behalf whose, as applicable, primary practice, principal professional address or place of incorporation </w:t>
      </w:r>
      <w:r w:rsidR="00003570">
        <w:rPr>
          <w:rFonts w:ascii="Arial" w:hAnsi="Arial" w:cs="Arial"/>
        </w:rPr>
        <w:t xml:space="preserve">or resides </w:t>
      </w:r>
      <w:r w:rsidRPr="00555B3E">
        <w:rPr>
          <w:rFonts w:ascii="Arial" w:hAnsi="Arial" w:cs="Arial"/>
        </w:rPr>
        <w:t xml:space="preserve">is in the </w:t>
      </w:r>
      <w:r w:rsidR="0018416F">
        <w:rPr>
          <w:rFonts w:ascii="Arial" w:hAnsi="Arial" w:cs="Arial"/>
        </w:rPr>
        <w:t>United Kingdom</w:t>
      </w:r>
      <w:r w:rsidRPr="00555B3E">
        <w:rPr>
          <w:rFonts w:ascii="Arial" w:hAnsi="Arial" w:cs="Arial"/>
        </w:rPr>
        <w:t xml:space="preserve">. </w:t>
      </w:r>
    </w:p>
    <w:p w14:paraId="7AF3C195" w14:textId="77777777" w:rsidR="00555B3E" w:rsidRDefault="00555B3E" w:rsidP="00D72BBA">
      <w:pPr>
        <w:pStyle w:val="ListParagraph"/>
        <w:numPr>
          <w:ilvl w:val="0"/>
          <w:numId w:val="1"/>
        </w:numPr>
        <w:spacing w:after="120" w:line="240" w:lineRule="auto"/>
        <w:ind w:left="360"/>
        <w:contextualSpacing w:val="0"/>
        <w:jc w:val="both"/>
        <w:rPr>
          <w:rFonts w:ascii="Arial" w:hAnsi="Arial" w:cs="Arial"/>
        </w:rPr>
      </w:pPr>
      <w:r w:rsidRPr="00555B3E">
        <w:rPr>
          <w:rFonts w:ascii="Arial" w:hAnsi="Arial" w:cs="Arial"/>
          <w:b/>
          <w:bCs/>
        </w:rPr>
        <w:t>“Research and Development (R&amp;D)”:</w:t>
      </w:r>
      <w:r w:rsidRPr="00555B3E">
        <w:rPr>
          <w:rFonts w:ascii="Arial" w:hAnsi="Arial" w:cs="Arial"/>
        </w:rPr>
        <w:t xml:space="preserve"> HCP/HCO transfers of value that relate to the planning and conduct of:</w:t>
      </w:r>
    </w:p>
    <w:p w14:paraId="60CCC466" w14:textId="2C79AA2D" w:rsidR="00555B3E" w:rsidRDefault="00555B3E" w:rsidP="00D72BBA">
      <w:pPr>
        <w:pStyle w:val="ListParagraph"/>
        <w:numPr>
          <w:ilvl w:val="1"/>
          <w:numId w:val="1"/>
        </w:numPr>
        <w:spacing w:after="120" w:line="240" w:lineRule="auto"/>
        <w:ind w:left="720"/>
        <w:jc w:val="both"/>
        <w:rPr>
          <w:rFonts w:ascii="Arial" w:hAnsi="Arial" w:cs="Arial"/>
        </w:rPr>
      </w:pPr>
      <w:r w:rsidRPr="00555B3E">
        <w:rPr>
          <w:rFonts w:ascii="Arial" w:hAnsi="Arial" w:cs="Arial"/>
        </w:rPr>
        <w:t>Non-clinical studies (as defined in OECD Principles on Good Laboratory Practice</w:t>
      </w:r>
      <w:r w:rsidR="007259DF" w:rsidRPr="00555B3E">
        <w:rPr>
          <w:rFonts w:ascii="Arial" w:hAnsi="Arial" w:cs="Arial"/>
        </w:rPr>
        <w:t>).</w:t>
      </w:r>
      <w:r w:rsidRPr="00555B3E">
        <w:rPr>
          <w:rFonts w:ascii="Arial" w:hAnsi="Arial" w:cs="Arial"/>
        </w:rPr>
        <w:t xml:space="preserve"> </w:t>
      </w:r>
    </w:p>
    <w:p w14:paraId="200DF708" w14:textId="4B942708" w:rsidR="00555B3E" w:rsidRDefault="00555B3E" w:rsidP="00D72BBA">
      <w:pPr>
        <w:pStyle w:val="ListParagraph"/>
        <w:numPr>
          <w:ilvl w:val="1"/>
          <w:numId w:val="1"/>
        </w:numPr>
        <w:spacing w:after="120" w:line="240" w:lineRule="auto"/>
        <w:ind w:left="720"/>
        <w:jc w:val="both"/>
        <w:rPr>
          <w:rFonts w:ascii="Arial" w:hAnsi="Arial" w:cs="Arial"/>
        </w:rPr>
      </w:pPr>
      <w:r w:rsidRPr="00555B3E">
        <w:rPr>
          <w:rFonts w:ascii="Arial" w:hAnsi="Arial" w:cs="Arial"/>
        </w:rPr>
        <w:t xml:space="preserve">Clinical trials </w:t>
      </w:r>
      <w:r w:rsidR="0018416F" w:rsidRPr="0018416F">
        <w:rPr>
          <w:rFonts w:ascii="Arial" w:hAnsi="Arial" w:cs="Arial"/>
        </w:rPr>
        <w:t>(as defined in Regulation 536/2014)</w:t>
      </w:r>
    </w:p>
    <w:p w14:paraId="7DD99F61" w14:textId="1DD86071" w:rsidR="00555B3E" w:rsidRDefault="00555B3E" w:rsidP="00D72BBA">
      <w:pPr>
        <w:pStyle w:val="ListParagraph"/>
        <w:numPr>
          <w:ilvl w:val="1"/>
          <w:numId w:val="1"/>
        </w:numPr>
        <w:spacing w:after="120" w:line="240" w:lineRule="auto"/>
        <w:ind w:left="720"/>
        <w:jc w:val="both"/>
        <w:rPr>
          <w:rFonts w:ascii="Arial" w:hAnsi="Arial" w:cs="Arial"/>
        </w:rPr>
      </w:pPr>
      <w:r w:rsidRPr="00555B3E">
        <w:rPr>
          <w:rFonts w:ascii="Arial" w:hAnsi="Arial" w:cs="Arial"/>
        </w:rPr>
        <w:t xml:space="preserve">Non-interventional studies that are prospective in nature and that involve the collection of patient data from or on behalf of individual, or groups of, HCPs specifically for the study. This also includes investigator sponsored research (ISRs). </w:t>
      </w:r>
    </w:p>
    <w:p w14:paraId="10F89AE2" w14:textId="77777777" w:rsidR="00D72BBA" w:rsidRDefault="00D72BBA" w:rsidP="00D72BBA">
      <w:pPr>
        <w:pStyle w:val="ListParagraph"/>
        <w:spacing w:after="120" w:line="240" w:lineRule="auto"/>
        <w:jc w:val="both"/>
        <w:rPr>
          <w:rFonts w:ascii="Arial" w:hAnsi="Arial" w:cs="Arial"/>
        </w:rPr>
      </w:pPr>
    </w:p>
    <w:p w14:paraId="27676959" w14:textId="4108B00D" w:rsidR="00555B3E" w:rsidRPr="00D72BBA" w:rsidRDefault="00555B3E" w:rsidP="00D72BBA">
      <w:pPr>
        <w:pStyle w:val="Heading1"/>
        <w:spacing w:before="120"/>
        <w:jc w:val="both"/>
        <w:rPr>
          <w:b/>
          <w:bCs/>
        </w:rPr>
      </w:pPr>
      <w:r w:rsidRPr="00D72BBA">
        <w:rPr>
          <w:b/>
          <w:bCs/>
        </w:rPr>
        <w:t>Transfers of Value</w:t>
      </w:r>
    </w:p>
    <w:p w14:paraId="454133D4" w14:textId="16640739" w:rsidR="00555B3E" w:rsidRPr="00555B3E" w:rsidRDefault="00555B3E" w:rsidP="00EA29A3">
      <w:pPr>
        <w:jc w:val="both"/>
        <w:rPr>
          <w:rFonts w:ascii="Arial" w:hAnsi="Arial" w:cs="Arial"/>
        </w:rPr>
      </w:pPr>
      <w:proofErr w:type="spellStart"/>
      <w:r w:rsidRPr="00555B3E">
        <w:rPr>
          <w:rFonts w:ascii="Arial" w:hAnsi="Arial" w:cs="Arial"/>
        </w:rPr>
        <w:t>ToVs</w:t>
      </w:r>
      <w:proofErr w:type="spellEnd"/>
      <w:r w:rsidRPr="00555B3E">
        <w:rPr>
          <w:rFonts w:ascii="Arial" w:hAnsi="Arial" w:cs="Arial"/>
        </w:rPr>
        <w:t xml:space="preserve"> made directly to an HCP/HCO</w:t>
      </w:r>
      <w:r w:rsidR="004F231B">
        <w:rPr>
          <w:rFonts w:ascii="Arial" w:hAnsi="Arial" w:cs="Arial"/>
        </w:rPr>
        <w:t>/PO</w:t>
      </w:r>
      <w:r w:rsidR="006A658E">
        <w:rPr>
          <w:rFonts w:ascii="Arial" w:hAnsi="Arial" w:cs="Arial"/>
        </w:rPr>
        <w:t xml:space="preserve"> and members of the public</w:t>
      </w:r>
      <w:r w:rsidRPr="00555B3E">
        <w:rPr>
          <w:rFonts w:ascii="Arial" w:hAnsi="Arial" w:cs="Arial"/>
        </w:rPr>
        <w:t xml:space="preserve"> or indirectly on behalf of </w:t>
      </w:r>
      <w:r>
        <w:rPr>
          <w:rFonts w:ascii="Arial" w:hAnsi="Arial" w:cs="Arial"/>
        </w:rPr>
        <w:t>Amarin</w:t>
      </w:r>
      <w:r w:rsidRPr="00555B3E">
        <w:rPr>
          <w:rFonts w:ascii="Arial" w:hAnsi="Arial" w:cs="Arial"/>
        </w:rPr>
        <w:t xml:space="preserve"> through a third party will be disclosed within this report. </w:t>
      </w:r>
    </w:p>
    <w:p w14:paraId="0F392F74" w14:textId="7597AC92" w:rsidR="00DF21FD" w:rsidRDefault="00555B3E" w:rsidP="003A40AA">
      <w:pPr>
        <w:jc w:val="both"/>
        <w:rPr>
          <w:rFonts w:ascii="Arial" w:hAnsi="Arial" w:cs="Arial"/>
        </w:rPr>
      </w:pPr>
      <w:proofErr w:type="spellStart"/>
      <w:r w:rsidRPr="00555B3E">
        <w:rPr>
          <w:rFonts w:ascii="Arial" w:hAnsi="Arial" w:cs="Arial"/>
        </w:rPr>
        <w:t>ToVs</w:t>
      </w:r>
      <w:proofErr w:type="spellEnd"/>
      <w:r w:rsidRPr="00555B3E">
        <w:rPr>
          <w:rFonts w:ascii="Arial" w:hAnsi="Arial" w:cs="Arial"/>
        </w:rPr>
        <w:t xml:space="preserve"> are reported based on payment date or transfer of value date (</w:t>
      </w:r>
      <w:r w:rsidR="007259DF" w:rsidRPr="00555B3E">
        <w:rPr>
          <w:rFonts w:ascii="Arial" w:hAnsi="Arial" w:cs="Arial"/>
        </w:rPr>
        <w:t>e.g.,</w:t>
      </w:r>
      <w:r w:rsidRPr="00555B3E">
        <w:rPr>
          <w:rFonts w:ascii="Arial" w:hAnsi="Arial" w:cs="Arial"/>
        </w:rPr>
        <w:t xml:space="preserve"> the date a flight was taken). </w:t>
      </w:r>
    </w:p>
    <w:p w14:paraId="52E5EDA7" w14:textId="56C44C4E" w:rsidR="00555B3E" w:rsidRPr="00555B3E" w:rsidRDefault="00555B3E" w:rsidP="00EA29A3">
      <w:pPr>
        <w:jc w:val="both"/>
        <w:rPr>
          <w:rFonts w:ascii="Arial" w:hAnsi="Arial" w:cs="Arial"/>
        </w:rPr>
      </w:pPr>
      <w:r w:rsidRPr="00555B3E">
        <w:rPr>
          <w:rFonts w:ascii="Arial" w:hAnsi="Arial" w:cs="Arial"/>
        </w:rPr>
        <w:t xml:space="preserve">HCP disclosure will be made based on </w:t>
      </w:r>
      <w:r w:rsidR="00877362">
        <w:rPr>
          <w:rFonts w:ascii="Arial" w:hAnsi="Arial" w:cs="Arial"/>
        </w:rPr>
        <w:t xml:space="preserve">the </w:t>
      </w:r>
      <w:r w:rsidRPr="00555B3E">
        <w:rPr>
          <w:rFonts w:ascii="Arial" w:hAnsi="Arial" w:cs="Arial"/>
        </w:rPr>
        <w:t>named individual if consent has been obtained</w:t>
      </w:r>
      <w:r w:rsidR="00877362">
        <w:rPr>
          <w:rFonts w:ascii="Arial" w:hAnsi="Arial" w:cs="Arial"/>
        </w:rPr>
        <w:t>;</w:t>
      </w:r>
      <w:r w:rsidRPr="00555B3E">
        <w:rPr>
          <w:rFonts w:ascii="Arial" w:hAnsi="Arial" w:cs="Arial"/>
        </w:rPr>
        <w:t xml:space="preserve"> refer below for further information on our consent methodology. </w:t>
      </w:r>
    </w:p>
    <w:p w14:paraId="42ADEA5C" w14:textId="3ACF2E72" w:rsidR="00555B3E" w:rsidRPr="00555B3E" w:rsidRDefault="00555B3E" w:rsidP="00EA29A3">
      <w:pPr>
        <w:jc w:val="both"/>
        <w:rPr>
          <w:rFonts w:ascii="Arial" w:hAnsi="Arial" w:cs="Arial"/>
        </w:rPr>
      </w:pPr>
      <w:r w:rsidRPr="00555B3E">
        <w:rPr>
          <w:rFonts w:ascii="Arial" w:hAnsi="Arial" w:cs="Arial"/>
        </w:rPr>
        <w:t xml:space="preserve">Research and development will be disclosed in aggregate for all </w:t>
      </w:r>
      <w:r>
        <w:rPr>
          <w:rFonts w:ascii="Arial" w:hAnsi="Arial" w:cs="Arial"/>
        </w:rPr>
        <w:t>disclosure reports.</w:t>
      </w:r>
    </w:p>
    <w:p w14:paraId="23666310" w14:textId="77777777" w:rsidR="00877362" w:rsidRPr="00D72BBA" w:rsidRDefault="00877362" w:rsidP="00877362">
      <w:pPr>
        <w:pStyle w:val="Heading1"/>
        <w:spacing w:before="120"/>
        <w:jc w:val="both"/>
        <w:rPr>
          <w:b/>
          <w:bCs/>
        </w:rPr>
      </w:pPr>
      <w:r w:rsidRPr="00D72BBA">
        <w:rPr>
          <w:b/>
          <w:bCs/>
        </w:rPr>
        <w:lastRenderedPageBreak/>
        <w:t>C</w:t>
      </w:r>
      <w:r>
        <w:rPr>
          <w:b/>
          <w:bCs/>
        </w:rPr>
        <w:t>ross-border Payments</w:t>
      </w:r>
    </w:p>
    <w:p w14:paraId="29F31BD4" w14:textId="77777777" w:rsidR="00877362" w:rsidRPr="00555B3E" w:rsidRDefault="00877362" w:rsidP="00877362">
      <w:pPr>
        <w:jc w:val="both"/>
        <w:rPr>
          <w:rFonts w:ascii="Arial" w:hAnsi="Arial" w:cs="Arial"/>
        </w:rPr>
      </w:pPr>
      <w:r w:rsidRPr="001E732D">
        <w:rPr>
          <w:rFonts w:ascii="Arial" w:hAnsi="Arial" w:cs="Arial"/>
        </w:rPr>
        <w:t xml:space="preserve">All payments made to </w:t>
      </w:r>
      <w:r>
        <w:rPr>
          <w:rFonts w:ascii="Arial" w:hAnsi="Arial" w:cs="Arial"/>
        </w:rPr>
        <w:t>HCPs and HCOs</w:t>
      </w:r>
      <w:r w:rsidRPr="001E732D">
        <w:rPr>
          <w:rFonts w:ascii="Arial" w:hAnsi="Arial" w:cs="Arial"/>
        </w:rPr>
        <w:t xml:space="preserve"> from outside the UK are tracked and managed centrally by </w:t>
      </w:r>
      <w:r>
        <w:rPr>
          <w:rFonts w:ascii="Arial" w:hAnsi="Arial" w:cs="Arial"/>
        </w:rPr>
        <w:t>Amarin</w:t>
      </w:r>
      <w:r w:rsidRPr="001E732D">
        <w:rPr>
          <w:rFonts w:ascii="Arial" w:hAnsi="Arial" w:cs="Arial"/>
        </w:rPr>
        <w:t xml:space="preserve">. </w:t>
      </w:r>
      <w:r>
        <w:rPr>
          <w:rFonts w:ascii="Arial" w:hAnsi="Arial" w:cs="Arial"/>
        </w:rPr>
        <w:t xml:space="preserve">Amarin </w:t>
      </w:r>
      <w:proofErr w:type="gramStart"/>
      <w:r>
        <w:rPr>
          <w:rFonts w:ascii="Arial" w:hAnsi="Arial" w:cs="Arial"/>
        </w:rPr>
        <w:t>are</w:t>
      </w:r>
      <w:r w:rsidRPr="001E732D">
        <w:rPr>
          <w:rFonts w:ascii="Arial" w:hAnsi="Arial" w:cs="Arial"/>
        </w:rPr>
        <w:t xml:space="preserve"> able to</w:t>
      </w:r>
      <w:proofErr w:type="gramEnd"/>
      <w:r w:rsidRPr="001E732D">
        <w:rPr>
          <w:rFonts w:ascii="Arial" w:hAnsi="Arial" w:cs="Arial"/>
        </w:rPr>
        <w:t xml:space="preserve"> track all external payments made to patient organisations and individual members of the public within the UK</w:t>
      </w:r>
      <w:r>
        <w:rPr>
          <w:rFonts w:ascii="Arial" w:hAnsi="Arial" w:cs="Arial"/>
        </w:rPr>
        <w:t>.</w:t>
      </w:r>
    </w:p>
    <w:p w14:paraId="2504B60C" w14:textId="5B5950A8" w:rsidR="00555B3E" w:rsidRPr="00D72BBA" w:rsidRDefault="00555B3E" w:rsidP="00D72BBA">
      <w:pPr>
        <w:pStyle w:val="Heading1"/>
        <w:spacing w:before="120"/>
        <w:jc w:val="both"/>
        <w:rPr>
          <w:b/>
          <w:bCs/>
        </w:rPr>
      </w:pPr>
      <w:r w:rsidRPr="00D72BBA">
        <w:rPr>
          <w:b/>
          <w:bCs/>
        </w:rPr>
        <w:t>Consent</w:t>
      </w:r>
    </w:p>
    <w:p w14:paraId="6D5FFB53" w14:textId="1BB39FC1" w:rsidR="00555B3E" w:rsidRPr="00555B3E" w:rsidRDefault="00555B3E" w:rsidP="00EA29A3">
      <w:pPr>
        <w:jc w:val="both"/>
        <w:rPr>
          <w:rFonts w:ascii="Arial" w:hAnsi="Arial" w:cs="Arial"/>
        </w:rPr>
      </w:pPr>
      <w:r w:rsidRPr="00B844B9">
        <w:rPr>
          <w:rFonts w:ascii="Arial" w:hAnsi="Arial" w:cs="Arial"/>
        </w:rPr>
        <w:t>Data protection law</w:t>
      </w:r>
      <w:r w:rsidR="00303ACD">
        <w:rPr>
          <w:rFonts w:ascii="Arial" w:hAnsi="Arial" w:cs="Arial"/>
        </w:rPr>
        <w:t>s and transparency rules</w:t>
      </w:r>
      <w:r w:rsidRPr="00B844B9">
        <w:rPr>
          <w:rFonts w:ascii="Arial" w:hAnsi="Arial" w:cs="Arial"/>
        </w:rPr>
        <w:t xml:space="preserve"> require Amarin to collect consent from</w:t>
      </w:r>
      <w:r w:rsidR="00303ACD">
        <w:rPr>
          <w:rFonts w:ascii="Arial" w:hAnsi="Arial" w:cs="Arial"/>
        </w:rPr>
        <w:t xml:space="preserve"> </w:t>
      </w:r>
      <w:r w:rsidRPr="00B844B9">
        <w:rPr>
          <w:rFonts w:ascii="Arial" w:hAnsi="Arial" w:cs="Arial"/>
        </w:rPr>
        <w:t xml:space="preserve">HCPs to disclose </w:t>
      </w:r>
      <w:proofErr w:type="spellStart"/>
      <w:r w:rsidRPr="00B844B9">
        <w:rPr>
          <w:rFonts w:ascii="Arial" w:hAnsi="Arial" w:cs="Arial"/>
        </w:rPr>
        <w:t>ToVs</w:t>
      </w:r>
      <w:proofErr w:type="spellEnd"/>
      <w:r w:rsidRPr="00B844B9">
        <w:rPr>
          <w:rFonts w:ascii="Arial" w:hAnsi="Arial" w:cs="Arial"/>
        </w:rPr>
        <w:t xml:space="preserve"> against</w:t>
      </w:r>
      <w:r w:rsidRPr="00555B3E">
        <w:rPr>
          <w:rFonts w:ascii="Arial" w:hAnsi="Arial" w:cs="Arial"/>
        </w:rPr>
        <w:t xml:space="preserve"> named individuals. </w:t>
      </w:r>
      <w:r w:rsidR="00303ACD">
        <w:rPr>
          <w:rFonts w:ascii="Arial" w:hAnsi="Arial" w:cs="Arial"/>
        </w:rPr>
        <w:t>Amarin will contact HCPs</w:t>
      </w:r>
      <w:r w:rsidRPr="00555B3E">
        <w:rPr>
          <w:rFonts w:ascii="Arial" w:hAnsi="Arial" w:cs="Arial"/>
        </w:rPr>
        <w:t xml:space="preserve"> to seek their consent to disclose all interactions </w:t>
      </w:r>
      <w:proofErr w:type="gramStart"/>
      <w:r w:rsidRPr="00555B3E">
        <w:rPr>
          <w:rFonts w:ascii="Arial" w:hAnsi="Arial" w:cs="Arial"/>
        </w:rPr>
        <w:t>entered into</w:t>
      </w:r>
      <w:proofErr w:type="gramEnd"/>
      <w:r w:rsidRPr="00555B3E">
        <w:rPr>
          <w:rFonts w:ascii="Arial" w:hAnsi="Arial" w:cs="Arial"/>
        </w:rPr>
        <w:t xml:space="preserve"> with </w:t>
      </w:r>
      <w:r>
        <w:rPr>
          <w:rFonts w:ascii="Arial" w:hAnsi="Arial" w:cs="Arial"/>
        </w:rPr>
        <w:t>Amarin</w:t>
      </w:r>
      <w:r w:rsidRPr="00555B3E">
        <w:rPr>
          <w:rFonts w:ascii="Arial" w:hAnsi="Arial" w:cs="Arial"/>
        </w:rPr>
        <w:t xml:space="preserve">. Where consent has not been granted, </w:t>
      </w:r>
      <w:r>
        <w:rPr>
          <w:rFonts w:ascii="Arial" w:hAnsi="Arial" w:cs="Arial"/>
        </w:rPr>
        <w:t>Amarin</w:t>
      </w:r>
      <w:r w:rsidRPr="00555B3E">
        <w:rPr>
          <w:rFonts w:ascii="Arial" w:hAnsi="Arial" w:cs="Arial"/>
        </w:rPr>
        <w:t xml:space="preserve"> will disclose </w:t>
      </w:r>
      <w:proofErr w:type="spellStart"/>
      <w:r w:rsidRPr="00555B3E">
        <w:rPr>
          <w:rFonts w:ascii="Arial" w:hAnsi="Arial" w:cs="Arial"/>
        </w:rPr>
        <w:t>ToVs</w:t>
      </w:r>
      <w:proofErr w:type="spellEnd"/>
      <w:r w:rsidRPr="00555B3E">
        <w:rPr>
          <w:rFonts w:ascii="Arial" w:hAnsi="Arial" w:cs="Arial"/>
        </w:rPr>
        <w:t xml:space="preserve"> in aggregate and will not publish against the named individual. </w:t>
      </w:r>
    </w:p>
    <w:p w14:paraId="197F844D" w14:textId="1114A0B9" w:rsidR="000D2A50" w:rsidRPr="00555B3E" w:rsidRDefault="00555B3E" w:rsidP="00EA29A3">
      <w:pPr>
        <w:jc w:val="both"/>
        <w:rPr>
          <w:rFonts w:ascii="Arial" w:hAnsi="Arial" w:cs="Arial"/>
        </w:rPr>
      </w:pPr>
      <w:r w:rsidRPr="00555B3E">
        <w:rPr>
          <w:rFonts w:ascii="Arial" w:hAnsi="Arial" w:cs="Arial"/>
        </w:rPr>
        <w:t xml:space="preserve">HCPs have the right to withdraw consent at any time.  If </w:t>
      </w:r>
      <w:r>
        <w:rPr>
          <w:rFonts w:ascii="Arial" w:hAnsi="Arial" w:cs="Arial"/>
        </w:rPr>
        <w:t>Amarin</w:t>
      </w:r>
      <w:r w:rsidRPr="00555B3E">
        <w:rPr>
          <w:rFonts w:ascii="Arial" w:hAnsi="Arial" w:cs="Arial"/>
        </w:rPr>
        <w:t xml:space="preserve"> receives such a withdrawal of consent, </w:t>
      </w:r>
      <w:r>
        <w:rPr>
          <w:rFonts w:ascii="Arial" w:hAnsi="Arial" w:cs="Arial"/>
        </w:rPr>
        <w:t>Amarin</w:t>
      </w:r>
      <w:r w:rsidRPr="00555B3E">
        <w:rPr>
          <w:rFonts w:ascii="Arial" w:hAnsi="Arial" w:cs="Arial"/>
        </w:rPr>
        <w:t xml:space="preserve"> will, within a reasonable period, move the relevant </w:t>
      </w:r>
      <w:proofErr w:type="spellStart"/>
      <w:r w:rsidRPr="00555B3E">
        <w:rPr>
          <w:rFonts w:ascii="Arial" w:hAnsi="Arial" w:cs="Arial"/>
        </w:rPr>
        <w:t>ToV</w:t>
      </w:r>
      <w:proofErr w:type="spellEnd"/>
      <w:r w:rsidRPr="00555B3E">
        <w:rPr>
          <w:rFonts w:ascii="Arial" w:hAnsi="Arial" w:cs="Arial"/>
        </w:rPr>
        <w:t xml:space="preserve"> data into the aggregate category. </w:t>
      </w:r>
    </w:p>
    <w:p w14:paraId="26B5AF88" w14:textId="5F66A0C3" w:rsidR="00555B3E" w:rsidRPr="00D72BBA" w:rsidRDefault="00555B3E" w:rsidP="00D72BBA">
      <w:pPr>
        <w:pStyle w:val="Heading1"/>
        <w:spacing w:before="120"/>
        <w:jc w:val="both"/>
        <w:rPr>
          <w:b/>
          <w:bCs/>
        </w:rPr>
      </w:pPr>
      <w:r w:rsidRPr="00D72BBA">
        <w:rPr>
          <w:b/>
          <w:bCs/>
        </w:rPr>
        <w:t>Pre-disclosure validation</w:t>
      </w:r>
    </w:p>
    <w:p w14:paraId="43C3558B" w14:textId="786620E5" w:rsidR="00555B3E" w:rsidRPr="00555B3E" w:rsidRDefault="00555B3E" w:rsidP="00EA29A3">
      <w:pPr>
        <w:jc w:val="both"/>
        <w:rPr>
          <w:rFonts w:ascii="Arial" w:hAnsi="Arial" w:cs="Arial"/>
        </w:rPr>
      </w:pPr>
      <w:r>
        <w:rPr>
          <w:rFonts w:ascii="Arial" w:hAnsi="Arial" w:cs="Arial"/>
        </w:rPr>
        <w:t>Amarin</w:t>
      </w:r>
      <w:r w:rsidRPr="00555B3E">
        <w:rPr>
          <w:rFonts w:ascii="Arial" w:hAnsi="Arial" w:cs="Arial"/>
        </w:rPr>
        <w:t xml:space="preserve"> has made reasonable efforts to ensure </w:t>
      </w:r>
      <w:proofErr w:type="gramStart"/>
      <w:r w:rsidRPr="00555B3E">
        <w:rPr>
          <w:rFonts w:ascii="Arial" w:hAnsi="Arial" w:cs="Arial"/>
        </w:rPr>
        <w:t>completeness</w:t>
      </w:r>
      <w:proofErr w:type="gramEnd"/>
      <w:r w:rsidRPr="00555B3E">
        <w:rPr>
          <w:rFonts w:ascii="Arial" w:hAnsi="Arial" w:cs="Arial"/>
        </w:rPr>
        <w:t xml:space="preserve"> and accuracy of our disclosable spend and has worked closely with third party vendors and agencies to collect relevant information. </w:t>
      </w:r>
      <w:proofErr w:type="gramStart"/>
      <w:r w:rsidRPr="00555B3E">
        <w:rPr>
          <w:rFonts w:ascii="Arial" w:hAnsi="Arial" w:cs="Arial"/>
        </w:rPr>
        <w:t>In order to</w:t>
      </w:r>
      <w:proofErr w:type="gramEnd"/>
      <w:r w:rsidRPr="00555B3E">
        <w:rPr>
          <w:rFonts w:ascii="Arial" w:hAnsi="Arial" w:cs="Arial"/>
        </w:rPr>
        <w:t xml:space="preserve"> maintain transparency in our reporting, </w:t>
      </w:r>
      <w:r>
        <w:rPr>
          <w:rFonts w:ascii="Arial" w:hAnsi="Arial" w:cs="Arial"/>
        </w:rPr>
        <w:t>Amarin</w:t>
      </w:r>
      <w:r w:rsidRPr="00555B3E">
        <w:rPr>
          <w:rFonts w:ascii="Arial" w:hAnsi="Arial" w:cs="Arial"/>
        </w:rPr>
        <w:t xml:space="preserve"> has provided</w:t>
      </w:r>
      <w:r w:rsidR="006B45E2">
        <w:rPr>
          <w:rFonts w:ascii="Arial" w:hAnsi="Arial" w:cs="Arial"/>
        </w:rPr>
        <w:t xml:space="preserve"> </w:t>
      </w:r>
      <w:r w:rsidRPr="00555B3E">
        <w:rPr>
          <w:rFonts w:ascii="Arial" w:hAnsi="Arial" w:cs="Arial"/>
        </w:rPr>
        <w:t xml:space="preserve">HCPs involved in non-R&amp;D activities, a statement for review and validation prior to </w:t>
      </w:r>
      <w:r>
        <w:rPr>
          <w:rFonts w:ascii="Arial" w:hAnsi="Arial" w:cs="Arial"/>
        </w:rPr>
        <w:t>Amarin</w:t>
      </w:r>
      <w:r w:rsidRPr="00555B3E">
        <w:rPr>
          <w:rFonts w:ascii="Arial" w:hAnsi="Arial" w:cs="Arial"/>
        </w:rPr>
        <w:t xml:space="preserve">’s </w:t>
      </w:r>
      <w:r w:rsidR="00693F40">
        <w:rPr>
          <w:rFonts w:ascii="Arial" w:hAnsi="Arial" w:cs="Arial"/>
        </w:rPr>
        <w:t>transparency disclosure reports</w:t>
      </w:r>
      <w:r w:rsidRPr="00555B3E">
        <w:rPr>
          <w:rFonts w:ascii="Arial" w:hAnsi="Arial" w:cs="Arial"/>
        </w:rPr>
        <w:t xml:space="preserve">. If no response has been received to correct the data in the statement, </w:t>
      </w:r>
      <w:r>
        <w:rPr>
          <w:rFonts w:ascii="Arial" w:hAnsi="Arial" w:cs="Arial"/>
        </w:rPr>
        <w:t>Amarin</w:t>
      </w:r>
      <w:r w:rsidRPr="00555B3E">
        <w:rPr>
          <w:rFonts w:ascii="Arial" w:hAnsi="Arial" w:cs="Arial"/>
        </w:rPr>
        <w:t xml:space="preserve"> has assumed this is accurate for disclosure purposes.  </w:t>
      </w:r>
    </w:p>
    <w:p w14:paraId="0C9C34D5" w14:textId="77777777" w:rsidR="00877362" w:rsidRPr="00D72BBA" w:rsidRDefault="00877362" w:rsidP="00877362">
      <w:pPr>
        <w:pStyle w:val="Heading1"/>
        <w:spacing w:before="120"/>
        <w:jc w:val="both"/>
        <w:rPr>
          <w:b/>
          <w:bCs/>
        </w:rPr>
      </w:pPr>
      <w:r w:rsidRPr="00D72BBA">
        <w:rPr>
          <w:b/>
          <w:bCs/>
        </w:rPr>
        <w:t>Country of disclosure</w:t>
      </w:r>
    </w:p>
    <w:p w14:paraId="5FA39510" w14:textId="77777777" w:rsidR="00877362" w:rsidRPr="00555B3E" w:rsidRDefault="00877362" w:rsidP="00877362">
      <w:pPr>
        <w:jc w:val="both"/>
        <w:rPr>
          <w:rFonts w:ascii="Arial" w:hAnsi="Arial" w:cs="Arial"/>
        </w:rPr>
      </w:pPr>
      <w:r>
        <w:rPr>
          <w:rFonts w:ascii="Arial" w:hAnsi="Arial" w:cs="Arial"/>
        </w:rPr>
        <w:t>Amarin</w:t>
      </w:r>
      <w:r w:rsidRPr="00555B3E">
        <w:rPr>
          <w:rFonts w:ascii="Arial" w:hAnsi="Arial" w:cs="Arial"/>
        </w:rPr>
        <w:t xml:space="preserve"> discloses </w:t>
      </w:r>
      <w:proofErr w:type="spellStart"/>
      <w:r w:rsidRPr="00555B3E">
        <w:rPr>
          <w:rFonts w:ascii="Arial" w:hAnsi="Arial" w:cs="Arial"/>
        </w:rPr>
        <w:t>ToVs</w:t>
      </w:r>
      <w:proofErr w:type="spellEnd"/>
      <w:r w:rsidRPr="00555B3E">
        <w:rPr>
          <w:rFonts w:ascii="Arial" w:hAnsi="Arial" w:cs="Arial"/>
        </w:rPr>
        <w:t xml:space="preserve"> based on the HCPs principal place of practice. If a</w:t>
      </w:r>
      <w:r>
        <w:rPr>
          <w:rFonts w:ascii="Arial" w:hAnsi="Arial" w:cs="Arial"/>
        </w:rPr>
        <w:t>n</w:t>
      </w:r>
      <w:r w:rsidRPr="00555B3E">
        <w:rPr>
          <w:rFonts w:ascii="Arial" w:hAnsi="Arial" w:cs="Arial"/>
        </w:rPr>
        <w:t xml:space="preserve"> HCP operates in more than one country, </w:t>
      </w:r>
      <w:r>
        <w:rPr>
          <w:rFonts w:ascii="Arial" w:hAnsi="Arial" w:cs="Arial"/>
        </w:rPr>
        <w:t>Amarin</w:t>
      </w:r>
      <w:r w:rsidRPr="00555B3E">
        <w:rPr>
          <w:rFonts w:ascii="Arial" w:hAnsi="Arial" w:cs="Arial"/>
        </w:rPr>
        <w:t xml:space="preserve"> will select one country to be the primary principal place of practice and disclose in that country.</w:t>
      </w:r>
    </w:p>
    <w:p w14:paraId="5F5BA4A0" w14:textId="77777777" w:rsidR="00555B3E" w:rsidRPr="00D72BBA" w:rsidRDefault="00555B3E" w:rsidP="00D72BBA">
      <w:pPr>
        <w:pStyle w:val="Heading1"/>
        <w:spacing w:before="120"/>
        <w:jc w:val="both"/>
        <w:rPr>
          <w:b/>
          <w:bCs/>
        </w:rPr>
      </w:pPr>
      <w:r w:rsidRPr="00D72BBA">
        <w:rPr>
          <w:b/>
          <w:bCs/>
        </w:rPr>
        <w:t>Currency</w:t>
      </w:r>
    </w:p>
    <w:p w14:paraId="4422921F" w14:textId="25213D31" w:rsidR="00555B3E" w:rsidRDefault="00555B3E" w:rsidP="00EA29A3">
      <w:pPr>
        <w:jc w:val="both"/>
        <w:rPr>
          <w:rFonts w:ascii="Arial" w:hAnsi="Arial" w:cs="Arial"/>
        </w:rPr>
      </w:pPr>
      <w:r>
        <w:rPr>
          <w:rFonts w:ascii="Arial" w:hAnsi="Arial" w:cs="Arial"/>
        </w:rPr>
        <w:t>Amarin</w:t>
      </w:r>
      <w:r w:rsidRPr="00555B3E">
        <w:rPr>
          <w:rFonts w:ascii="Arial" w:hAnsi="Arial" w:cs="Arial"/>
        </w:rPr>
        <w:t xml:space="preserve"> discloses </w:t>
      </w:r>
      <w:proofErr w:type="spellStart"/>
      <w:r w:rsidRPr="00555B3E">
        <w:rPr>
          <w:rFonts w:ascii="Arial" w:hAnsi="Arial" w:cs="Arial"/>
        </w:rPr>
        <w:t>ToVs</w:t>
      </w:r>
      <w:proofErr w:type="spellEnd"/>
      <w:r w:rsidRPr="00555B3E">
        <w:rPr>
          <w:rFonts w:ascii="Arial" w:hAnsi="Arial" w:cs="Arial"/>
        </w:rPr>
        <w:t xml:space="preserve"> to HCPs</w:t>
      </w:r>
      <w:r w:rsidR="004F231B">
        <w:rPr>
          <w:rFonts w:ascii="Arial" w:hAnsi="Arial" w:cs="Arial"/>
        </w:rPr>
        <w:t>,</w:t>
      </w:r>
      <w:r w:rsidRPr="00555B3E">
        <w:rPr>
          <w:rFonts w:ascii="Arial" w:hAnsi="Arial" w:cs="Arial"/>
        </w:rPr>
        <w:t xml:space="preserve"> HCOs</w:t>
      </w:r>
      <w:r w:rsidR="005234A8">
        <w:rPr>
          <w:rFonts w:ascii="Arial" w:hAnsi="Arial" w:cs="Arial"/>
        </w:rPr>
        <w:t>,</w:t>
      </w:r>
      <w:r w:rsidR="004F231B">
        <w:rPr>
          <w:rFonts w:ascii="Arial" w:hAnsi="Arial" w:cs="Arial"/>
        </w:rPr>
        <w:t xml:space="preserve"> </w:t>
      </w:r>
      <w:proofErr w:type="gramStart"/>
      <w:r w:rsidR="004F231B">
        <w:rPr>
          <w:rFonts w:ascii="Arial" w:hAnsi="Arial" w:cs="Arial"/>
        </w:rPr>
        <w:t>P</w:t>
      </w:r>
      <w:r w:rsidR="005556E3">
        <w:rPr>
          <w:rFonts w:ascii="Arial" w:hAnsi="Arial" w:cs="Arial"/>
        </w:rPr>
        <w:t>O</w:t>
      </w:r>
      <w:r w:rsidR="004F231B">
        <w:rPr>
          <w:rFonts w:ascii="Arial" w:hAnsi="Arial" w:cs="Arial"/>
        </w:rPr>
        <w:t>s</w:t>
      </w:r>
      <w:proofErr w:type="gramEnd"/>
      <w:r w:rsidRPr="00555B3E">
        <w:rPr>
          <w:rFonts w:ascii="Arial" w:hAnsi="Arial" w:cs="Arial"/>
        </w:rPr>
        <w:t xml:space="preserve"> </w:t>
      </w:r>
      <w:r w:rsidR="005234A8">
        <w:rPr>
          <w:rFonts w:ascii="Arial" w:hAnsi="Arial" w:cs="Arial"/>
        </w:rPr>
        <w:t xml:space="preserve">and members of the public </w:t>
      </w:r>
      <w:r w:rsidRPr="00555B3E">
        <w:rPr>
          <w:rFonts w:ascii="Arial" w:hAnsi="Arial" w:cs="Arial"/>
        </w:rPr>
        <w:t xml:space="preserve">in </w:t>
      </w:r>
      <w:r w:rsidR="005234A8">
        <w:rPr>
          <w:rFonts w:ascii="Arial" w:hAnsi="Arial" w:cs="Arial"/>
        </w:rPr>
        <w:t>GBP</w:t>
      </w:r>
      <w:r w:rsidR="00EC44E7">
        <w:rPr>
          <w:rFonts w:ascii="Arial" w:hAnsi="Arial" w:cs="Arial"/>
        </w:rPr>
        <w:t xml:space="preserve"> currency</w:t>
      </w:r>
      <w:r w:rsidRPr="00555B3E">
        <w:rPr>
          <w:rFonts w:ascii="Arial" w:hAnsi="Arial" w:cs="Arial"/>
        </w:rPr>
        <w:t xml:space="preserve">. Where </w:t>
      </w:r>
      <w:proofErr w:type="spellStart"/>
      <w:r w:rsidRPr="00555B3E">
        <w:rPr>
          <w:rFonts w:ascii="Arial" w:hAnsi="Arial" w:cs="Arial"/>
        </w:rPr>
        <w:t>ToVs</w:t>
      </w:r>
      <w:proofErr w:type="spellEnd"/>
      <w:r w:rsidRPr="00555B3E">
        <w:rPr>
          <w:rFonts w:ascii="Arial" w:hAnsi="Arial" w:cs="Arial"/>
        </w:rPr>
        <w:t xml:space="preserve"> are made in another currency, the invoice amount will be converted into </w:t>
      </w:r>
      <w:r w:rsidR="005234A8">
        <w:rPr>
          <w:rFonts w:ascii="Arial" w:hAnsi="Arial" w:cs="Arial"/>
        </w:rPr>
        <w:t>GBP</w:t>
      </w:r>
      <w:r w:rsidRPr="00555B3E">
        <w:rPr>
          <w:rFonts w:ascii="Arial" w:hAnsi="Arial" w:cs="Arial"/>
        </w:rPr>
        <w:t xml:space="preserve"> </w:t>
      </w:r>
      <w:r w:rsidR="00EC44E7">
        <w:rPr>
          <w:rFonts w:ascii="Arial" w:hAnsi="Arial" w:cs="Arial"/>
        </w:rPr>
        <w:t xml:space="preserve">currency </w:t>
      </w:r>
      <w:r w:rsidRPr="00555B3E">
        <w:rPr>
          <w:rFonts w:ascii="Arial" w:hAnsi="Arial" w:cs="Arial"/>
        </w:rPr>
        <w:t>using the exchange rate</w:t>
      </w:r>
      <w:r w:rsidR="00AE7D78">
        <w:rPr>
          <w:rFonts w:ascii="Arial" w:hAnsi="Arial" w:cs="Arial"/>
        </w:rPr>
        <w:t xml:space="preserve">. </w:t>
      </w:r>
      <w:r w:rsidRPr="00555B3E">
        <w:rPr>
          <w:rFonts w:ascii="Arial" w:hAnsi="Arial" w:cs="Arial"/>
        </w:rPr>
        <w:t>Amounts disclosed may therefore vary slightly from the exact amounts paid to HCPs</w:t>
      </w:r>
      <w:r w:rsidR="004F231B">
        <w:rPr>
          <w:rFonts w:ascii="Arial" w:hAnsi="Arial" w:cs="Arial"/>
        </w:rPr>
        <w:t>,</w:t>
      </w:r>
      <w:r w:rsidRPr="00555B3E">
        <w:rPr>
          <w:rFonts w:ascii="Arial" w:hAnsi="Arial" w:cs="Arial"/>
        </w:rPr>
        <w:t xml:space="preserve"> </w:t>
      </w:r>
      <w:proofErr w:type="gramStart"/>
      <w:r w:rsidRPr="00555B3E">
        <w:rPr>
          <w:rFonts w:ascii="Arial" w:hAnsi="Arial" w:cs="Arial"/>
        </w:rPr>
        <w:t>HCOs</w:t>
      </w:r>
      <w:proofErr w:type="gramEnd"/>
      <w:r w:rsidR="004F231B">
        <w:rPr>
          <w:rFonts w:ascii="Arial" w:hAnsi="Arial" w:cs="Arial"/>
        </w:rPr>
        <w:t xml:space="preserve"> and </w:t>
      </w:r>
      <w:proofErr w:type="spellStart"/>
      <w:r w:rsidR="004F231B">
        <w:rPr>
          <w:rFonts w:ascii="Arial" w:hAnsi="Arial" w:cs="Arial"/>
        </w:rPr>
        <w:t>POs</w:t>
      </w:r>
      <w:r w:rsidRPr="00555B3E">
        <w:rPr>
          <w:rFonts w:ascii="Arial" w:hAnsi="Arial" w:cs="Arial"/>
        </w:rPr>
        <w:t>.</w:t>
      </w:r>
      <w:proofErr w:type="spellEnd"/>
      <w:r w:rsidRPr="00555B3E">
        <w:rPr>
          <w:rFonts w:ascii="Arial" w:hAnsi="Arial" w:cs="Arial"/>
        </w:rPr>
        <w:t xml:space="preserve"> </w:t>
      </w:r>
    </w:p>
    <w:p w14:paraId="7D4C78FD" w14:textId="77777777" w:rsidR="00555B3E" w:rsidRDefault="00555B3E" w:rsidP="00D72BBA">
      <w:pPr>
        <w:pStyle w:val="Heading1"/>
        <w:spacing w:before="120"/>
        <w:jc w:val="both"/>
        <w:rPr>
          <w:b/>
          <w:bCs/>
        </w:rPr>
      </w:pPr>
      <w:r w:rsidRPr="00D72BBA">
        <w:rPr>
          <w:b/>
          <w:bCs/>
        </w:rPr>
        <w:t>Tax</w:t>
      </w:r>
    </w:p>
    <w:p w14:paraId="676775DE" w14:textId="56582A75" w:rsidR="00555B3E" w:rsidRDefault="00555B3E" w:rsidP="00EA29A3">
      <w:pPr>
        <w:jc w:val="both"/>
        <w:rPr>
          <w:rFonts w:ascii="Arial" w:hAnsi="Arial" w:cs="Arial"/>
        </w:rPr>
      </w:pPr>
      <w:r w:rsidRPr="005556E3">
        <w:rPr>
          <w:rFonts w:ascii="Arial" w:hAnsi="Arial" w:cs="Arial"/>
        </w:rPr>
        <w:t xml:space="preserve">Amarin discloses all </w:t>
      </w:r>
      <w:proofErr w:type="spellStart"/>
      <w:r w:rsidRPr="005556E3">
        <w:rPr>
          <w:rFonts w:ascii="Arial" w:hAnsi="Arial" w:cs="Arial"/>
        </w:rPr>
        <w:t>ToVs</w:t>
      </w:r>
      <w:proofErr w:type="spellEnd"/>
      <w:r w:rsidRPr="005556E3">
        <w:rPr>
          <w:rFonts w:ascii="Arial" w:hAnsi="Arial" w:cs="Arial"/>
        </w:rPr>
        <w:t xml:space="preserve"> excluding VAT and other applicable taxes</w:t>
      </w:r>
      <w:r w:rsidR="005556E3" w:rsidRPr="005556E3">
        <w:rPr>
          <w:rFonts w:ascii="Arial" w:hAnsi="Arial" w:cs="Arial"/>
        </w:rPr>
        <w:t xml:space="preserve"> unless required by law</w:t>
      </w:r>
      <w:r w:rsidR="00877362">
        <w:rPr>
          <w:rFonts w:ascii="Arial" w:hAnsi="Arial" w:cs="Arial"/>
        </w:rPr>
        <w:t xml:space="preserve"> for inclusion.</w:t>
      </w:r>
    </w:p>
    <w:p w14:paraId="346E1C5A" w14:textId="77777777" w:rsidR="00555B3E" w:rsidRPr="00D72BBA" w:rsidRDefault="00555B3E" w:rsidP="00D72BBA">
      <w:pPr>
        <w:pStyle w:val="Heading1"/>
        <w:spacing w:before="120"/>
        <w:jc w:val="both"/>
        <w:rPr>
          <w:b/>
          <w:bCs/>
        </w:rPr>
      </w:pPr>
      <w:r w:rsidRPr="00D72BBA">
        <w:rPr>
          <w:b/>
          <w:bCs/>
        </w:rPr>
        <w:t>Timing &amp; multi-year contracts</w:t>
      </w:r>
    </w:p>
    <w:p w14:paraId="35B35226" w14:textId="42FFBF42" w:rsidR="00555B3E" w:rsidRPr="003A40AA" w:rsidRDefault="00555B3E" w:rsidP="00EA29A3">
      <w:pPr>
        <w:jc w:val="both"/>
      </w:pPr>
      <w:r>
        <w:rPr>
          <w:rFonts w:ascii="Arial" w:hAnsi="Arial" w:cs="Arial"/>
        </w:rPr>
        <w:t>Amarin</w:t>
      </w:r>
      <w:r w:rsidRPr="00555B3E">
        <w:rPr>
          <w:rFonts w:ascii="Arial" w:hAnsi="Arial" w:cs="Arial"/>
        </w:rPr>
        <w:t xml:space="preserve"> discloses all </w:t>
      </w:r>
      <w:proofErr w:type="spellStart"/>
      <w:r w:rsidRPr="00555B3E">
        <w:rPr>
          <w:rFonts w:ascii="Arial" w:hAnsi="Arial" w:cs="Arial"/>
        </w:rPr>
        <w:t>ToVs</w:t>
      </w:r>
      <w:proofErr w:type="spellEnd"/>
      <w:r w:rsidRPr="00555B3E">
        <w:rPr>
          <w:rFonts w:ascii="Arial" w:hAnsi="Arial" w:cs="Arial"/>
        </w:rPr>
        <w:t xml:space="preserve"> made between 1 </w:t>
      </w:r>
      <w:r w:rsidRPr="00877362">
        <w:rPr>
          <w:rFonts w:ascii="Arial" w:hAnsi="Arial" w:cs="Arial"/>
        </w:rPr>
        <w:t xml:space="preserve">January and 31 December </w:t>
      </w:r>
      <w:r w:rsidR="00EC44E7" w:rsidRPr="006E4635">
        <w:rPr>
          <w:rFonts w:ascii="Arial" w:hAnsi="Arial" w:cs="Arial"/>
        </w:rPr>
        <w:t>by the last Working Day of March</w:t>
      </w:r>
      <w:r w:rsidR="00DA502E" w:rsidRPr="006E4635">
        <w:rPr>
          <w:rFonts w:ascii="Arial" w:hAnsi="Arial" w:cs="Arial"/>
        </w:rPr>
        <w:t>,</w:t>
      </w:r>
      <w:r w:rsidR="00DA502E" w:rsidRPr="00877362">
        <w:rPr>
          <w:rFonts w:ascii="Arial" w:hAnsi="Arial" w:cs="Arial"/>
        </w:rPr>
        <w:t xml:space="preserve"> based on </w:t>
      </w:r>
      <w:r w:rsidR="000C1A8C" w:rsidRPr="00877362">
        <w:rPr>
          <w:rFonts w:ascii="Arial" w:hAnsi="Arial" w:cs="Arial"/>
        </w:rPr>
        <w:t>local</w:t>
      </w:r>
      <w:r w:rsidR="00DA502E" w:rsidRPr="00877362">
        <w:rPr>
          <w:rFonts w:ascii="Arial" w:hAnsi="Arial" w:cs="Arial"/>
        </w:rPr>
        <w:t xml:space="preserve"> </w:t>
      </w:r>
      <w:r w:rsidR="000C1A8C" w:rsidRPr="00877362">
        <w:rPr>
          <w:rFonts w:ascii="Arial" w:hAnsi="Arial" w:cs="Arial"/>
        </w:rPr>
        <w:t>r</w:t>
      </w:r>
      <w:r w:rsidR="00DA502E" w:rsidRPr="00877362">
        <w:rPr>
          <w:rFonts w:ascii="Arial" w:hAnsi="Arial" w:cs="Arial"/>
        </w:rPr>
        <w:t>equirements</w:t>
      </w:r>
      <w:r w:rsidRPr="00877362">
        <w:rPr>
          <w:rFonts w:ascii="Arial" w:hAnsi="Arial" w:cs="Arial"/>
        </w:rPr>
        <w:t>. Where</w:t>
      </w:r>
      <w:r w:rsidRPr="00555B3E">
        <w:rPr>
          <w:rFonts w:ascii="Arial" w:hAnsi="Arial" w:cs="Arial"/>
        </w:rPr>
        <w:t xml:space="preserve"> an interaction with a</w:t>
      </w:r>
      <w:r w:rsidR="002E576A">
        <w:rPr>
          <w:rFonts w:ascii="Arial" w:hAnsi="Arial" w:cs="Arial"/>
        </w:rPr>
        <w:t xml:space="preserve">n </w:t>
      </w:r>
      <w:r w:rsidRPr="00555B3E">
        <w:rPr>
          <w:rFonts w:ascii="Arial" w:hAnsi="Arial" w:cs="Arial"/>
        </w:rPr>
        <w:t>HCP</w:t>
      </w:r>
      <w:r w:rsidR="004F231B">
        <w:rPr>
          <w:rFonts w:ascii="Arial" w:hAnsi="Arial" w:cs="Arial"/>
        </w:rPr>
        <w:t>,</w:t>
      </w:r>
      <w:r w:rsidRPr="00555B3E">
        <w:rPr>
          <w:rFonts w:ascii="Arial" w:hAnsi="Arial" w:cs="Arial"/>
        </w:rPr>
        <w:t xml:space="preserve"> HCO</w:t>
      </w:r>
      <w:r w:rsidR="00EC44E7">
        <w:rPr>
          <w:rFonts w:ascii="Arial" w:hAnsi="Arial" w:cs="Arial"/>
        </w:rPr>
        <w:t>,</w:t>
      </w:r>
      <w:r w:rsidR="004F231B">
        <w:rPr>
          <w:rFonts w:ascii="Arial" w:hAnsi="Arial" w:cs="Arial"/>
        </w:rPr>
        <w:t xml:space="preserve"> </w:t>
      </w:r>
      <w:proofErr w:type="gramStart"/>
      <w:r w:rsidR="004F231B">
        <w:rPr>
          <w:rFonts w:ascii="Arial" w:hAnsi="Arial" w:cs="Arial"/>
        </w:rPr>
        <w:t>PO</w:t>
      </w:r>
      <w:proofErr w:type="gramEnd"/>
      <w:r w:rsidR="005556E3">
        <w:rPr>
          <w:rFonts w:ascii="Arial" w:hAnsi="Arial" w:cs="Arial"/>
        </w:rPr>
        <w:t xml:space="preserve"> </w:t>
      </w:r>
      <w:r w:rsidR="00EC44E7">
        <w:rPr>
          <w:rFonts w:ascii="Arial" w:hAnsi="Arial" w:cs="Arial"/>
        </w:rPr>
        <w:t xml:space="preserve">or member of the public </w:t>
      </w:r>
      <w:r w:rsidRPr="00555B3E">
        <w:rPr>
          <w:rFonts w:ascii="Arial" w:hAnsi="Arial" w:cs="Arial"/>
        </w:rPr>
        <w:t xml:space="preserve">runs for more than one year, </w:t>
      </w:r>
      <w:r>
        <w:rPr>
          <w:rFonts w:ascii="Arial" w:hAnsi="Arial" w:cs="Arial"/>
        </w:rPr>
        <w:t>Amarin</w:t>
      </w:r>
      <w:r w:rsidRPr="00555B3E">
        <w:rPr>
          <w:rFonts w:ascii="Arial" w:hAnsi="Arial" w:cs="Arial"/>
        </w:rPr>
        <w:t xml:space="preserve"> will disclose </w:t>
      </w:r>
      <w:proofErr w:type="spellStart"/>
      <w:r w:rsidRPr="00555B3E">
        <w:rPr>
          <w:rFonts w:ascii="Arial" w:hAnsi="Arial" w:cs="Arial"/>
        </w:rPr>
        <w:t>ToVs</w:t>
      </w:r>
      <w:proofErr w:type="spellEnd"/>
      <w:r w:rsidRPr="00555B3E">
        <w:rPr>
          <w:rFonts w:ascii="Arial" w:hAnsi="Arial" w:cs="Arial"/>
        </w:rPr>
        <w:t xml:space="preserve"> made in the year of payment or transfer.</w:t>
      </w:r>
    </w:p>
    <w:p w14:paraId="6C5AF24D" w14:textId="77777777" w:rsidR="00555B3E" w:rsidRPr="00D72BBA" w:rsidRDefault="00555B3E" w:rsidP="004F231B">
      <w:pPr>
        <w:pStyle w:val="Heading1"/>
        <w:spacing w:before="120"/>
        <w:jc w:val="both"/>
        <w:rPr>
          <w:b/>
          <w:bCs/>
        </w:rPr>
      </w:pPr>
      <w:r w:rsidRPr="00D72BBA">
        <w:rPr>
          <w:b/>
          <w:bCs/>
        </w:rPr>
        <w:lastRenderedPageBreak/>
        <w:t>Cancellations and non-participation</w:t>
      </w:r>
    </w:p>
    <w:p w14:paraId="5BE806FA" w14:textId="11801F32" w:rsidR="00555B3E" w:rsidRPr="00555B3E" w:rsidRDefault="00555B3E" w:rsidP="00EA29A3">
      <w:pPr>
        <w:jc w:val="both"/>
        <w:rPr>
          <w:rFonts w:ascii="Arial" w:hAnsi="Arial" w:cs="Arial"/>
        </w:rPr>
      </w:pPr>
      <w:proofErr w:type="spellStart"/>
      <w:r w:rsidRPr="00AD532F">
        <w:rPr>
          <w:rFonts w:ascii="Arial" w:hAnsi="Arial" w:cs="Arial"/>
        </w:rPr>
        <w:t>ToVs</w:t>
      </w:r>
      <w:proofErr w:type="spellEnd"/>
      <w:r w:rsidRPr="00AD532F">
        <w:rPr>
          <w:rFonts w:ascii="Arial" w:hAnsi="Arial" w:cs="Arial"/>
        </w:rPr>
        <w:t xml:space="preserve"> will only be disclosed where the benefit has been received.  In the event of a cancellation or where an HCP</w:t>
      </w:r>
      <w:r w:rsidR="004F231B" w:rsidRPr="00AD532F">
        <w:rPr>
          <w:rFonts w:ascii="Arial" w:hAnsi="Arial" w:cs="Arial"/>
        </w:rPr>
        <w:t>/HCO/PO</w:t>
      </w:r>
      <w:r w:rsidR="00971A68">
        <w:rPr>
          <w:rFonts w:ascii="Arial" w:hAnsi="Arial" w:cs="Arial"/>
        </w:rPr>
        <w:t xml:space="preserve"> </w:t>
      </w:r>
      <w:r w:rsidRPr="00AD532F">
        <w:rPr>
          <w:rFonts w:ascii="Arial" w:hAnsi="Arial" w:cs="Arial"/>
        </w:rPr>
        <w:t xml:space="preserve">does not receive the benefit due to non-participation, Amarin will not disclose </w:t>
      </w:r>
      <w:proofErr w:type="spellStart"/>
      <w:r w:rsidRPr="00AD532F">
        <w:rPr>
          <w:rFonts w:ascii="Arial" w:hAnsi="Arial" w:cs="Arial"/>
        </w:rPr>
        <w:t>ToVs</w:t>
      </w:r>
      <w:proofErr w:type="spellEnd"/>
      <w:r w:rsidRPr="00AD532F">
        <w:rPr>
          <w:rFonts w:ascii="Arial" w:hAnsi="Arial" w:cs="Arial"/>
        </w:rPr>
        <w:t xml:space="preserve"> against the HCP</w:t>
      </w:r>
      <w:r w:rsidR="004F231B" w:rsidRPr="00AD532F">
        <w:rPr>
          <w:rFonts w:ascii="Arial" w:hAnsi="Arial" w:cs="Arial"/>
        </w:rPr>
        <w:t>/HCO/PO</w:t>
      </w:r>
      <w:r w:rsidRPr="00AD532F">
        <w:rPr>
          <w:rFonts w:ascii="Arial" w:hAnsi="Arial" w:cs="Arial"/>
        </w:rPr>
        <w:t>.</w:t>
      </w:r>
    </w:p>
    <w:p w14:paraId="6F60791D" w14:textId="77777777" w:rsidR="00555B3E" w:rsidRPr="00555B3E" w:rsidRDefault="00555B3E" w:rsidP="004F231B">
      <w:pPr>
        <w:spacing w:after="120"/>
        <w:jc w:val="both"/>
        <w:rPr>
          <w:rFonts w:ascii="Arial" w:hAnsi="Arial" w:cs="Arial"/>
        </w:rPr>
      </w:pPr>
    </w:p>
    <w:p w14:paraId="631334A2" w14:textId="60075216" w:rsidR="00555B3E" w:rsidRPr="00D72BBA" w:rsidRDefault="00555B3E" w:rsidP="004F231B">
      <w:pPr>
        <w:pStyle w:val="Heading1"/>
        <w:spacing w:before="120"/>
        <w:jc w:val="both"/>
        <w:rPr>
          <w:b/>
          <w:bCs/>
        </w:rPr>
      </w:pPr>
      <w:r w:rsidRPr="00D72BBA">
        <w:rPr>
          <w:b/>
          <w:bCs/>
        </w:rPr>
        <w:t xml:space="preserve">Disclosure and </w:t>
      </w:r>
      <w:r w:rsidR="00D72BBA">
        <w:rPr>
          <w:b/>
          <w:bCs/>
        </w:rPr>
        <w:t>D</w:t>
      </w:r>
      <w:r w:rsidRPr="00D72BBA">
        <w:rPr>
          <w:b/>
          <w:bCs/>
        </w:rPr>
        <w:t xml:space="preserve">ocument </w:t>
      </w:r>
      <w:r w:rsidR="00D72BBA">
        <w:rPr>
          <w:b/>
          <w:bCs/>
        </w:rPr>
        <w:t>R</w:t>
      </w:r>
      <w:r w:rsidRPr="00D72BBA">
        <w:rPr>
          <w:b/>
          <w:bCs/>
        </w:rPr>
        <w:t xml:space="preserve">etention </w:t>
      </w:r>
      <w:r w:rsidR="00D72BBA">
        <w:rPr>
          <w:b/>
          <w:bCs/>
        </w:rPr>
        <w:t>P</w:t>
      </w:r>
      <w:r w:rsidRPr="00D72BBA">
        <w:rPr>
          <w:b/>
          <w:bCs/>
        </w:rPr>
        <w:t>eriods</w:t>
      </w:r>
    </w:p>
    <w:p w14:paraId="433F8DE5" w14:textId="17B51604" w:rsidR="00555B3E" w:rsidRPr="00555B3E" w:rsidRDefault="00555B3E" w:rsidP="004F231B">
      <w:pPr>
        <w:spacing w:after="120"/>
        <w:jc w:val="both"/>
        <w:rPr>
          <w:rFonts w:ascii="Arial" w:hAnsi="Arial" w:cs="Arial"/>
        </w:rPr>
      </w:pPr>
      <w:r w:rsidRPr="004F231B">
        <w:rPr>
          <w:rFonts w:ascii="Arial" w:hAnsi="Arial" w:cs="Arial"/>
        </w:rPr>
        <w:t>Amarin will maintain public disclosures for a minimum of three years and will retain records for at least five years after the end of the calendar year to which they relate.</w:t>
      </w:r>
      <w:r w:rsidRPr="00555B3E">
        <w:rPr>
          <w:rFonts w:ascii="Arial" w:hAnsi="Arial" w:cs="Arial"/>
        </w:rPr>
        <w:t xml:space="preserve"> </w:t>
      </w:r>
    </w:p>
    <w:p w14:paraId="10E7D33F" w14:textId="77777777" w:rsidR="006C06B8" w:rsidRPr="00555B3E" w:rsidRDefault="006C06B8" w:rsidP="00EA29A3">
      <w:pPr>
        <w:jc w:val="both"/>
        <w:rPr>
          <w:rFonts w:ascii="Arial" w:hAnsi="Arial" w:cs="Arial"/>
        </w:rPr>
      </w:pPr>
    </w:p>
    <w:sectPr w:rsidR="006C06B8" w:rsidRPr="00555B3E" w:rsidSect="00D72BBA">
      <w:headerReference w:type="default" r:id="rId10"/>
      <w:pgSz w:w="12240" w:h="15840"/>
      <w:pgMar w:top="17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8811" w14:textId="77777777" w:rsidR="001035D3" w:rsidRDefault="001035D3" w:rsidP="00D72BBA">
      <w:pPr>
        <w:spacing w:after="0" w:line="240" w:lineRule="auto"/>
      </w:pPr>
      <w:r>
        <w:separator/>
      </w:r>
    </w:p>
  </w:endnote>
  <w:endnote w:type="continuationSeparator" w:id="0">
    <w:p w14:paraId="498D4764" w14:textId="77777777" w:rsidR="001035D3" w:rsidRDefault="001035D3" w:rsidP="00D7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1501" w14:textId="77777777" w:rsidR="001035D3" w:rsidRDefault="001035D3" w:rsidP="00D72BBA">
      <w:pPr>
        <w:spacing w:after="0" w:line="240" w:lineRule="auto"/>
      </w:pPr>
      <w:r>
        <w:separator/>
      </w:r>
    </w:p>
  </w:footnote>
  <w:footnote w:type="continuationSeparator" w:id="0">
    <w:p w14:paraId="737992B9" w14:textId="77777777" w:rsidR="001035D3" w:rsidRDefault="001035D3" w:rsidP="00D7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C598" w14:textId="536A6BC5" w:rsidR="00D72BBA" w:rsidRDefault="00D72BBA">
    <w:pPr>
      <w:pStyle w:val="Header"/>
    </w:pPr>
    <w:r>
      <w:rPr>
        <w:noProof/>
      </w:rPr>
      <w:drawing>
        <wp:inline distT="0" distB="0" distL="0" distR="0" wp14:anchorId="34B55110" wp14:editId="6E89690A">
          <wp:extent cx="391886" cy="391886"/>
          <wp:effectExtent l="0" t="0" r="8255" b="825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896" cy="395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41A"/>
    <w:multiLevelType w:val="hybridMultilevel"/>
    <w:tmpl w:val="F55A0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749E"/>
    <w:multiLevelType w:val="hybridMultilevel"/>
    <w:tmpl w:val="42C0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955533">
    <w:abstractNumId w:val="0"/>
  </w:num>
  <w:num w:numId="2" w16cid:durableId="169538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3E"/>
    <w:rsid w:val="00003570"/>
    <w:rsid w:val="000478BC"/>
    <w:rsid w:val="000C1A8C"/>
    <w:rsid w:val="000D2A50"/>
    <w:rsid w:val="001035D3"/>
    <w:rsid w:val="00110353"/>
    <w:rsid w:val="00181884"/>
    <w:rsid w:val="0018416F"/>
    <w:rsid w:val="001E732D"/>
    <w:rsid w:val="001F6F2C"/>
    <w:rsid w:val="002242D8"/>
    <w:rsid w:val="00224FC1"/>
    <w:rsid w:val="00270425"/>
    <w:rsid w:val="002B673F"/>
    <w:rsid w:val="002E576A"/>
    <w:rsid w:val="00303ACD"/>
    <w:rsid w:val="0033396C"/>
    <w:rsid w:val="003A40AA"/>
    <w:rsid w:val="00402FF2"/>
    <w:rsid w:val="004A1D94"/>
    <w:rsid w:val="004F15A3"/>
    <w:rsid w:val="004F231B"/>
    <w:rsid w:val="005207C5"/>
    <w:rsid w:val="005234A8"/>
    <w:rsid w:val="005556E3"/>
    <w:rsid w:val="00555B3E"/>
    <w:rsid w:val="0058246B"/>
    <w:rsid w:val="00637931"/>
    <w:rsid w:val="00662835"/>
    <w:rsid w:val="00693F40"/>
    <w:rsid w:val="006A658E"/>
    <w:rsid w:val="006B45E2"/>
    <w:rsid w:val="006C06B8"/>
    <w:rsid w:val="006E4635"/>
    <w:rsid w:val="006F0BE7"/>
    <w:rsid w:val="007259DF"/>
    <w:rsid w:val="007B0C65"/>
    <w:rsid w:val="007D10E4"/>
    <w:rsid w:val="007E5975"/>
    <w:rsid w:val="00877362"/>
    <w:rsid w:val="008A2430"/>
    <w:rsid w:val="008B18A6"/>
    <w:rsid w:val="0093174A"/>
    <w:rsid w:val="00971A68"/>
    <w:rsid w:val="0097707F"/>
    <w:rsid w:val="009C5158"/>
    <w:rsid w:val="00A01A9D"/>
    <w:rsid w:val="00A71EBC"/>
    <w:rsid w:val="00A83DDE"/>
    <w:rsid w:val="00AD532F"/>
    <w:rsid w:val="00AE7D78"/>
    <w:rsid w:val="00B55C39"/>
    <w:rsid w:val="00B844B9"/>
    <w:rsid w:val="00C36186"/>
    <w:rsid w:val="00C42D7C"/>
    <w:rsid w:val="00CA6088"/>
    <w:rsid w:val="00CB00AE"/>
    <w:rsid w:val="00CB2C0A"/>
    <w:rsid w:val="00D72BBA"/>
    <w:rsid w:val="00DA502E"/>
    <w:rsid w:val="00DC4690"/>
    <w:rsid w:val="00DD2379"/>
    <w:rsid w:val="00DF21FD"/>
    <w:rsid w:val="00E7055C"/>
    <w:rsid w:val="00EA29A3"/>
    <w:rsid w:val="00EB6402"/>
    <w:rsid w:val="00EC44E7"/>
    <w:rsid w:val="00EF13C3"/>
    <w:rsid w:val="00EF23AD"/>
    <w:rsid w:val="00EF64E0"/>
    <w:rsid w:val="00F8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06478"/>
  <w15:chartTrackingRefBased/>
  <w15:docId w15:val="{1754043F-049C-407F-A378-8ECDD72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B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5B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5B3E"/>
    <w:pPr>
      <w:ind w:left="720"/>
      <w:contextualSpacing/>
    </w:pPr>
  </w:style>
  <w:style w:type="character" w:customStyle="1" w:styleId="Heading2Char">
    <w:name w:val="Heading 2 Char"/>
    <w:basedOn w:val="DefaultParagraphFont"/>
    <w:link w:val="Heading2"/>
    <w:uiPriority w:val="9"/>
    <w:rsid w:val="00555B3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55B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B0C65"/>
    <w:rPr>
      <w:sz w:val="16"/>
      <w:szCs w:val="16"/>
    </w:rPr>
  </w:style>
  <w:style w:type="paragraph" w:styleId="CommentText">
    <w:name w:val="annotation text"/>
    <w:basedOn w:val="Normal"/>
    <w:link w:val="CommentTextChar"/>
    <w:uiPriority w:val="99"/>
    <w:unhideWhenUsed/>
    <w:rsid w:val="007B0C65"/>
    <w:pPr>
      <w:spacing w:line="240" w:lineRule="auto"/>
    </w:pPr>
    <w:rPr>
      <w:sz w:val="20"/>
      <w:szCs w:val="20"/>
    </w:rPr>
  </w:style>
  <w:style w:type="character" w:customStyle="1" w:styleId="CommentTextChar">
    <w:name w:val="Comment Text Char"/>
    <w:basedOn w:val="DefaultParagraphFont"/>
    <w:link w:val="CommentText"/>
    <w:uiPriority w:val="99"/>
    <w:rsid w:val="007B0C65"/>
    <w:rPr>
      <w:sz w:val="20"/>
      <w:szCs w:val="20"/>
    </w:rPr>
  </w:style>
  <w:style w:type="paragraph" w:styleId="CommentSubject">
    <w:name w:val="annotation subject"/>
    <w:basedOn w:val="CommentText"/>
    <w:next w:val="CommentText"/>
    <w:link w:val="CommentSubjectChar"/>
    <w:uiPriority w:val="99"/>
    <w:semiHidden/>
    <w:unhideWhenUsed/>
    <w:rsid w:val="007B0C65"/>
    <w:rPr>
      <w:b/>
      <w:bCs/>
    </w:rPr>
  </w:style>
  <w:style w:type="character" w:customStyle="1" w:styleId="CommentSubjectChar">
    <w:name w:val="Comment Subject Char"/>
    <w:basedOn w:val="CommentTextChar"/>
    <w:link w:val="CommentSubject"/>
    <w:uiPriority w:val="99"/>
    <w:semiHidden/>
    <w:rsid w:val="007B0C65"/>
    <w:rPr>
      <w:b/>
      <w:bCs/>
      <w:sz w:val="20"/>
      <w:szCs w:val="20"/>
    </w:rPr>
  </w:style>
  <w:style w:type="table" w:customStyle="1" w:styleId="IQVIAManual">
    <w:name w:val="IQVIA Manual"/>
    <w:basedOn w:val="TableNormal"/>
    <w:uiPriority w:val="99"/>
    <w:rsid w:val="00A83DDE"/>
    <w:pPr>
      <w:spacing w:before="60" w:after="60" w:line="240" w:lineRule="auto"/>
    </w:pPr>
    <w:rPr>
      <w:rFonts w:ascii="Arial" w:hAnsi="Arial" w:cs="Arial"/>
      <w:color w:val="2B3A42"/>
    </w:rPr>
    <w:tblPr>
      <w:tblBorders>
        <w:top w:val="single" w:sz="4" w:space="0" w:color="2B3A42"/>
        <w:left w:val="single" w:sz="4" w:space="0" w:color="2B3A42"/>
        <w:bottom w:val="single" w:sz="4" w:space="0" w:color="2B3A42"/>
        <w:right w:val="single" w:sz="4" w:space="0" w:color="2B3A42"/>
        <w:insideH w:val="single" w:sz="4" w:space="0" w:color="2B3A42"/>
        <w:insideV w:val="single" w:sz="4" w:space="0" w:color="2B3A42"/>
      </w:tblBorders>
    </w:tblPr>
    <w:tblStylePr w:type="firstRow">
      <w:pPr>
        <w:wordWrap/>
        <w:spacing w:beforeLines="0" w:before="60" w:beforeAutospacing="0" w:afterLines="0" w:after="60" w:afterAutospacing="0" w:line="240" w:lineRule="auto"/>
        <w:contextualSpacing w:val="0"/>
        <w:jc w:val="center"/>
      </w:pPr>
      <w:rPr>
        <w:rFonts w:asciiTheme="minorHAnsi" w:hAnsiTheme="minorHAnsi"/>
        <w:b/>
        <w:color w:val="FFFFFF" w:themeColor="background1"/>
        <w:sz w:val="22"/>
      </w:rPr>
      <w:tblPr/>
      <w:tcPr>
        <w:shd w:val="clear" w:color="auto" w:fill="00A3E0"/>
      </w:tcPr>
    </w:tblStylePr>
  </w:style>
  <w:style w:type="paragraph" w:styleId="Revision">
    <w:name w:val="Revision"/>
    <w:hidden/>
    <w:uiPriority w:val="99"/>
    <w:semiHidden/>
    <w:rsid w:val="00EA29A3"/>
    <w:pPr>
      <w:spacing w:after="0" w:line="240" w:lineRule="auto"/>
    </w:pPr>
  </w:style>
  <w:style w:type="paragraph" w:styleId="Header">
    <w:name w:val="header"/>
    <w:basedOn w:val="Normal"/>
    <w:link w:val="HeaderChar"/>
    <w:uiPriority w:val="99"/>
    <w:unhideWhenUsed/>
    <w:rsid w:val="00D7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BA"/>
  </w:style>
  <w:style w:type="paragraph" w:styleId="Footer">
    <w:name w:val="footer"/>
    <w:basedOn w:val="Normal"/>
    <w:link w:val="FooterChar"/>
    <w:uiPriority w:val="99"/>
    <w:unhideWhenUsed/>
    <w:rsid w:val="00D7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ff6fc5e-ae2f-497e-91bd-6a51694f12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0C5C904B1784180601D973F43B157" ma:contentTypeVersion="12" ma:contentTypeDescription="Create a new document." ma:contentTypeScope="" ma:versionID="d37674422ddc9451ecfc77fb17374644">
  <xsd:schema xmlns:xsd="http://www.w3.org/2001/XMLSchema" xmlns:xs="http://www.w3.org/2001/XMLSchema" xmlns:p="http://schemas.microsoft.com/office/2006/metadata/properties" xmlns:ns3="aff6fc5e-ae2f-497e-91bd-6a51694f12e3" xmlns:ns4="16f6b533-e386-4b13-aa33-53093cc95b56" targetNamespace="http://schemas.microsoft.com/office/2006/metadata/properties" ma:root="true" ma:fieldsID="3cea485fb364aaba346680c361eb2453" ns3:_="" ns4:_="">
    <xsd:import namespace="aff6fc5e-ae2f-497e-91bd-6a51694f12e3"/>
    <xsd:import namespace="16f6b533-e386-4b13-aa33-53093cc95b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fc5e-ae2f-497e-91bd-6a51694f1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6b533-e386-4b13-aa33-53093cc95b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C37D9-65AF-4D94-9B83-2A2F4EC2A2CD}">
  <ds:schemaRefs>
    <ds:schemaRef ds:uri="http://purl.org/dc/dcmitype/"/>
    <ds:schemaRef ds:uri="http://schemas.microsoft.com/office/2006/documentManagement/types"/>
    <ds:schemaRef ds:uri="http://www.w3.org/XML/1998/namespace"/>
    <ds:schemaRef ds:uri="http://schemas.microsoft.com/office/infopath/2007/PartnerControls"/>
    <ds:schemaRef ds:uri="aff6fc5e-ae2f-497e-91bd-6a51694f12e3"/>
    <ds:schemaRef ds:uri="http://purl.org/dc/elements/1.1/"/>
    <ds:schemaRef ds:uri="http://schemas.openxmlformats.org/package/2006/metadata/core-properties"/>
    <ds:schemaRef ds:uri="16f6b533-e386-4b13-aa33-53093cc95b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82A8D6D-6F8D-4508-B1C3-84D7F3441633}">
  <ds:schemaRefs>
    <ds:schemaRef ds:uri="http://schemas.microsoft.com/sharepoint/v3/contenttype/forms"/>
  </ds:schemaRefs>
</ds:datastoreItem>
</file>

<file path=customXml/itemProps3.xml><?xml version="1.0" encoding="utf-8"?>
<ds:datastoreItem xmlns:ds="http://schemas.openxmlformats.org/officeDocument/2006/customXml" ds:itemID="{7033FF3B-B8B2-45AE-A0F7-F46551A3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fc5e-ae2f-497e-91bd-6a51694f12e3"/>
    <ds:schemaRef ds:uri="16f6b533-e386-4b13-aa33-53093cc95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1784</Words>
  <Characters>10174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Henky, Helene</dc:creator>
  <cp:keywords/>
  <dc:description/>
  <cp:lastModifiedBy>Sarah Grundy</cp:lastModifiedBy>
  <cp:revision>2</cp:revision>
  <dcterms:created xsi:type="dcterms:W3CDTF">2023-08-03T14:07:00Z</dcterms:created>
  <dcterms:modified xsi:type="dcterms:W3CDTF">2023-08-03T14:07:00Z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0x0101006770C5C904B1784180601D973F43B157</vt:lpwstr>
  </property>
</Properties>
</file>